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C6A7BB" w14:textId="77777777" w:rsidR="00171114" w:rsidRDefault="00171114">
      <w:pPr>
        <w:spacing w:after="2160"/>
        <w:rPr>
          <w:rFonts w:hint="eastAsia"/>
        </w:rPr>
      </w:pPr>
    </w:p>
    <w:p w14:paraId="0F1DADD8" w14:textId="77777777" w:rsidR="00171114" w:rsidRDefault="00000000">
      <w:pPr>
        <w:pStyle w:val="Title"/>
        <w:ind w:right="720"/>
      </w:pPr>
      <w:r>
        <w:rPr>
          <w:rFonts w:ascii="DejaVu Sans" w:hAnsi="DejaVu Sans"/>
        </w:rPr>
        <w:t>Continuous Endpoint Hardening for SOC 2 Type II</w:t>
      </w:r>
    </w:p>
    <w:p w14:paraId="00A2E328" w14:textId="77777777" w:rsidR="00171114" w:rsidRDefault="00000000">
      <w:pPr>
        <w:pStyle w:val="Subtitle"/>
        <w:ind w:right="1008"/>
      </w:pPr>
      <w:r>
        <w:rPr>
          <w:rFonts w:ascii="DejaVu Sans" w:hAnsi="DejaVu Sans"/>
          <w:i w:val="0"/>
        </w:rPr>
        <w:t>How Senteon supports secure configuration controls and operating effectiveness over time</w:t>
      </w:r>
    </w:p>
    <w:p w14:paraId="03F1250A" w14:textId="77777777" w:rsidR="00171114" w:rsidRDefault="00171114">
      <w:pPr>
        <w:spacing w:after="1300"/>
        <w:rPr>
          <w:rFonts w:hint="eastAsia"/>
        </w:rPr>
      </w:pPr>
    </w:p>
    <w:p w14:paraId="5526AA41" w14:textId="77777777" w:rsidR="00171114" w:rsidRDefault="00000000">
      <w:pPr>
        <w:ind w:right="1152"/>
        <w:rPr>
          <w:rFonts w:hint="eastAsia"/>
        </w:rPr>
      </w:pPr>
      <w:r>
        <w:rPr>
          <w:b/>
          <w:color w:val="000000"/>
          <w:sz w:val="32"/>
        </w:rPr>
        <w:t xml:space="preserve">The audit question is not whether a secure baseline existed once. </w:t>
      </w:r>
      <w:r>
        <w:rPr>
          <w:b/>
          <w:color w:val="FAAB17"/>
          <w:sz w:val="32"/>
        </w:rPr>
        <w:t>It is whether that baseline remained enforced throughout the examination period.</w:t>
      </w:r>
    </w:p>
    <w:p w14:paraId="475E58BC" w14:textId="77777777" w:rsidR="00171114" w:rsidRDefault="00171114">
      <w:pPr>
        <w:spacing w:after="2400"/>
        <w:rPr>
          <w:rFonts w:hint="eastAsia"/>
        </w:rPr>
      </w:pPr>
    </w:p>
    <w:p w14:paraId="64088284" w14:textId="77777777" w:rsidR="00263FB4" w:rsidRDefault="00000000">
      <w:pPr>
        <w:rPr>
          <w:b/>
          <w:color w:val="666666"/>
        </w:rPr>
      </w:pPr>
      <w:r>
        <w:rPr>
          <w:b/>
          <w:color w:val="666666"/>
        </w:rPr>
        <w:t>Published by Senteon</w:t>
      </w:r>
    </w:p>
    <w:p w14:paraId="097F0C14" w14:textId="0FCBE97D" w:rsidR="00171114" w:rsidRPr="00263FB4" w:rsidRDefault="00263FB4">
      <w:pPr>
        <w:rPr>
          <w:rFonts w:hint="eastAsia"/>
          <w:b/>
          <w:color w:val="666666"/>
        </w:rPr>
      </w:pPr>
      <w:r>
        <w:rPr>
          <w:b/>
          <w:color w:val="666666"/>
        </w:rPr>
        <w:t>Joshua Copeland</w:t>
      </w:r>
      <w:r w:rsidR="00000000">
        <w:rPr>
          <w:b/>
          <w:color w:val="666666"/>
        </w:rPr>
        <w:br/>
        <w:t>October 2026</w:t>
      </w:r>
    </w:p>
    <w:p w14:paraId="69FEFE54" w14:textId="77777777" w:rsidR="00171114" w:rsidRDefault="00000000">
      <w:pPr>
        <w:rPr>
          <w:rFonts w:hint="eastAsia"/>
        </w:rPr>
      </w:pPr>
      <w:r>
        <w:br w:type="page"/>
      </w:r>
    </w:p>
    <w:p w14:paraId="766FDD04" w14:textId="77777777" w:rsidR="00171114" w:rsidRDefault="00000000">
      <w:pPr>
        <w:pStyle w:val="Heading1"/>
      </w:pPr>
      <w:r>
        <w:rPr>
          <w:rFonts w:ascii="DejaVu Sans" w:hAnsi="DejaVu Sans"/>
          <w:color w:val="FAAB17"/>
        </w:rPr>
        <w:lastRenderedPageBreak/>
        <w:t xml:space="preserve">1  </w:t>
      </w:r>
      <w:r>
        <w:rPr>
          <w:rFonts w:ascii="DejaVu Sans" w:hAnsi="DejaVu Sans"/>
        </w:rPr>
        <w:t>Executive Summary</w:t>
      </w:r>
    </w:p>
    <w:p w14:paraId="3C7ED000" w14:textId="77777777" w:rsidR="00171114" w:rsidRDefault="00000000">
      <w:pPr>
        <w:keepLines/>
        <w:spacing w:before="100" w:after="140"/>
        <w:rPr>
          <w:rFonts w:hint="eastAsia"/>
        </w:rPr>
      </w:pPr>
      <w:r>
        <w:rPr>
          <w:b/>
          <w:color w:val="FAAB17"/>
          <w:sz w:val="22"/>
        </w:rPr>
        <w:t xml:space="preserve">Core conclusion </w:t>
      </w:r>
      <w:r>
        <w:rPr>
          <w:b/>
          <w:color w:val="000000"/>
          <w:sz w:val="22"/>
        </w:rPr>
        <w:t>Senteon can serve as primary control technology for secure endpoint configuration and configuration drift management, while providing strong supporting evidence for logical access, boundary protection, malware protection, monitoring, and change control.</w:t>
      </w:r>
    </w:p>
    <w:p w14:paraId="67FE590E" w14:textId="20FF0045" w:rsidR="00171114" w:rsidRDefault="00000000">
      <w:pPr>
        <w:rPr>
          <w:rFonts w:hint="eastAsia"/>
        </w:rPr>
      </w:pPr>
      <w:r>
        <w:t xml:space="preserve">SOC 2 Type II examinations evaluate whether controls were suitably designed and operated effectively over a defined period. That </w:t>
      </w:r>
      <w:r w:rsidR="00263FB4">
        <w:t>is a key item</w:t>
      </w:r>
      <w:r>
        <w:t xml:space="preserve"> for endpoint hardening. A policy, Group Policy Object, or configuration standard can establish intent, but an auditor still needs evidence that the approved state was applied to the in-scope population, exceptions were governed, drift was detected, and deviations were corrected.</w:t>
      </w:r>
    </w:p>
    <w:p w14:paraId="23AB4BC0" w14:textId="77777777" w:rsidR="00171114" w:rsidRDefault="00000000">
      <w:pPr>
        <w:rPr>
          <w:rFonts w:hint="eastAsia"/>
        </w:rPr>
      </w:pPr>
      <w:r>
        <w:t>Senteon addresses that operational gap by turning endpoint configuration into a continuously managed control. Its current platform materials describe 31 hardening categories and more than 1,500 control settings across workstations, servers, browsers, and Microsoft Office. The platform uses baseline configuration sets, monitors endpoint state, records setting history, identifies drift, remediates misalignment, and produces endpoint reports for audits and stakeholder reviews. [2][3][4][5]</w:t>
      </w:r>
    </w:p>
    <w:p w14:paraId="7D85BA2C" w14:textId="77777777" w:rsidR="00171114" w:rsidRDefault="00000000">
      <w:pPr>
        <w:rPr>
          <w:rFonts w:hint="eastAsia"/>
        </w:rPr>
      </w:pPr>
      <w:r>
        <w:t>The strongest SOC 2 mapping is CC7.1 because the criterion addresses the detection and monitoring of vulnerabilities and configuration changes that can create new exposure. Senteon also provides substantial support for CC6.1, CC6.6, and CC6.8. It contributes narrower evidence to CC5.2, CC6.7, CC7.2, and CC8.1, but it should not be presented as the complete control for identity lifecycle, security event investigation, incident response, recovery, or enterprise change approval.</w:t>
      </w:r>
    </w:p>
    <w:p w14:paraId="0E441762" w14:textId="77777777" w:rsidR="00171114" w:rsidRDefault="00000000">
      <w:pPr>
        <w:pStyle w:val="Heading2"/>
      </w:pPr>
      <w:r>
        <w:rPr>
          <w:rFonts w:ascii="DejaVu Sans" w:hAnsi="DejaVu Sans"/>
        </w:rPr>
        <w:t>What this paper provides</w:t>
      </w:r>
    </w:p>
    <w:p w14:paraId="6541C591" w14:textId="77777777" w:rsidR="00171114" w:rsidRDefault="00000000">
      <w:pPr>
        <w:pStyle w:val="ListBullet"/>
        <w:spacing w:after="60"/>
        <w:ind w:hanging="187"/>
        <w:rPr>
          <w:rFonts w:hint="eastAsia"/>
        </w:rPr>
      </w:pPr>
      <w:r>
        <w:t>A defensible mapping between Senteon capabilities and relevant SOC 2 Trust Services Criteria</w:t>
      </w:r>
    </w:p>
    <w:p w14:paraId="27454A02" w14:textId="77777777" w:rsidR="00171114" w:rsidRDefault="00000000">
      <w:pPr>
        <w:pStyle w:val="ListBullet"/>
        <w:spacing w:after="60"/>
        <w:ind w:hanging="187"/>
        <w:rPr>
          <w:rFonts w:hint="eastAsia"/>
        </w:rPr>
      </w:pPr>
      <w:r>
        <w:t>Four audit-ready control statements that organizations can adapt to their environment</w:t>
      </w:r>
    </w:p>
    <w:p w14:paraId="2834EBA5" w14:textId="77777777" w:rsidR="00171114" w:rsidRDefault="00000000">
      <w:pPr>
        <w:pStyle w:val="ListBullet"/>
        <w:spacing w:after="60"/>
        <w:ind w:hanging="187"/>
        <w:rPr>
          <w:rFonts w:hint="eastAsia"/>
        </w:rPr>
      </w:pPr>
      <w:r>
        <w:t>An evidence model designed for Type II testing across an examination period</w:t>
      </w:r>
    </w:p>
    <w:p w14:paraId="1140E645" w14:textId="77777777" w:rsidR="00171114" w:rsidRDefault="00000000">
      <w:pPr>
        <w:pStyle w:val="ListBullet"/>
        <w:spacing w:after="60"/>
        <w:ind w:hanging="187"/>
        <w:rPr>
          <w:rFonts w:hint="eastAsia"/>
        </w:rPr>
      </w:pPr>
      <w:r>
        <w:t>Clear boundaries that prevent overclaiming and make the auditor narrative more credible</w:t>
      </w:r>
    </w:p>
    <w:p w14:paraId="01CEA9EE" w14:textId="77777777" w:rsidR="00171114" w:rsidRDefault="00000000">
      <w:pPr>
        <w:pStyle w:val="Heading2"/>
      </w:pPr>
      <w:r>
        <w:rPr>
          <w:rFonts w:ascii="DejaVu Sans" w:hAnsi="DejaVu Sans"/>
        </w:rPr>
        <w:t>Contents</w:t>
      </w:r>
    </w:p>
    <w:tbl>
      <w:tblPr>
        <w:tblW w:w="0" w:type="auto"/>
        <w:jc w:val="center"/>
        <w:tblLayout w:type="fixed"/>
        <w:tblLook w:val="04A0" w:firstRow="1" w:lastRow="0" w:firstColumn="1" w:lastColumn="0" w:noHBand="0" w:noVBand="1"/>
      </w:tblPr>
      <w:tblGrid>
        <w:gridCol w:w="1080"/>
        <w:gridCol w:w="8568"/>
      </w:tblGrid>
      <w:tr w:rsidR="00171114" w14:paraId="021C945D" w14:textId="77777777">
        <w:trPr>
          <w:tblHeader/>
          <w:jc w:val="center"/>
        </w:trPr>
        <w:tc>
          <w:tcPr>
            <w:tcW w:w="1080" w:type="dxa"/>
            <w:tcBorders>
              <w:top w:val="single" w:sz="6" w:space="0" w:color="D9D9D9"/>
              <w:left w:val="single" w:sz="6" w:space="0" w:color="D9D9D9"/>
              <w:bottom w:val="single" w:sz="6" w:space="0" w:color="D9D9D9"/>
              <w:right w:val="single" w:sz="6" w:space="0" w:color="D9D9D9"/>
            </w:tcBorders>
            <w:shd w:val="clear" w:color="auto" w:fill="171717"/>
            <w:tcMar>
              <w:top w:w="115" w:type="dxa"/>
              <w:left w:w="110" w:type="dxa"/>
              <w:bottom w:w="115" w:type="dxa"/>
              <w:right w:w="110" w:type="dxa"/>
            </w:tcMar>
            <w:vAlign w:val="center"/>
          </w:tcPr>
          <w:p w14:paraId="7059C029" w14:textId="77777777" w:rsidR="00171114" w:rsidRDefault="00000000">
            <w:pPr>
              <w:spacing w:after="0"/>
              <w:jc w:val="center"/>
              <w:rPr>
                <w:rFonts w:hint="eastAsia"/>
              </w:rPr>
            </w:pPr>
            <w:r>
              <w:rPr>
                <w:b/>
                <w:color w:val="FFFFFF"/>
                <w:sz w:val="18"/>
              </w:rPr>
              <w:t>Section</w:t>
            </w:r>
          </w:p>
        </w:tc>
        <w:tc>
          <w:tcPr>
            <w:tcW w:w="8568" w:type="dxa"/>
            <w:tcBorders>
              <w:top w:val="single" w:sz="6" w:space="0" w:color="D9D9D9"/>
              <w:left w:val="single" w:sz="6" w:space="0" w:color="D9D9D9"/>
              <w:bottom w:val="single" w:sz="6" w:space="0" w:color="D9D9D9"/>
              <w:right w:val="single" w:sz="6" w:space="0" w:color="D9D9D9"/>
            </w:tcBorders>
            <w:shd w:val="clear" w:color="auto" w:fill="171717"/>
            <w:tcMar>
              <w:top w:w="115" w:type="dxa"/>
              <w:left w:w="110" w:type="dxa"/>
              <w:bottom w:w="115" w:type="dxa"/>
              <w:right w:w="110" w:type="dxa"/>
            </w:tcMar>
            <w:vAlign w:val="center"/>
          </w:tcPr>
          <w:p w14:paraId="3E2DE7A6" w14:textId="77777777" w:rsidR="00171114" w:rsidRDefault="00000000">
            <w:pPr>
              <w:spacing w:after="0"/>
              <w:rPr>
                <w:rFonts w:hint="eastAsia"/>
              </w:rPr>
            </w:pPr>
            <w:r>
              <w:rPr>
                <w:b/>
                <w:color w:val="FFFFFF"/>
                <w:sz w:val="18"/>
              </w:rPr>
              <w:t>Subject</w:t>
            </w:r>
          </w:p>
        </w:tc>
      </w:tr>
      <w:tr w:rsidR="00171114" w14:paraId="387A46E8" w14:textId="77777777">
        <w:trPr>
          <w:jc w:val="center"/>
        </w:trPr>
        <w:tc>
          <w:tcPr>
            <w:tcW w:w="1080" w:type="dxa"/>
            <w:tcBorders>
              <w:top w:val="single" w:sz="6" w:space="0" w:color="D9D9D9"/>
              <w:left w:val="single" w:sz="6" w:space="0" w:color="D9D9D9"/>
              <w:bottom w:val="single" w:sz="6" w:space="0" w:color="D9D9D9"/>
              <w:right w:val="single" w:sz="6" w:space="0" w:color="D9D9D9"/>
            </w:tcBorders>
            <w:shd w:val="clear" w:color="auto" w:fill="FFFFFF"/>
            <w:tcMar>
              <w:top w:w="100" w:type="dxa"/>
              <w:left w:w="105" w:type="dxa"/>
              <w:bottom w:w="100" w:type="dxa"/>
              <w:right w:w="105" w:type="dxa"/>
            </w:tcMar>
            <w:vAlign w:val="center"/>
          </w:tcPr>
          <w:p w14:paraId="1D746B16" w14:textId="77777777" w:rsidR="00171114" w:rsidRDefault="00000000">
            <w:pPr>
              <w:spacing w:after="0" w:line="252" w:lineRule="auto"/>
              <w:jc w:val="center"/>
              <w:rPr>
                <w:rFonts w:hint="eastAsia"/>
              </w:rPr>
            </w:pPr>
            <w:r>
              <w:rPr>
                <w:sz w:val="18"/>
              </w:rPr>
              <w:t>2</w:t>
            </w:r>
          </w:p>
        </w:tc>
        <w:tc>
          <w:tcPr>
            <w:tcW w:w="8568" w:type="dxa"/>
            <w:tcBorders>
              <w:top w:val="single" w:sz="6" w:space="0" w:color="D9D9D9"/>
              <w:left w:val="single" w:sz="6" w:space="0" w:color="D9D9D9"/>
              <w:bottom w:val="single" w:sz="6" w:space="0" w:color="D9D9D9"/>
              <w:right w:val="single" w:sz="6" w:space="0" w:color="D9D9D9"/>
            </w:tcBorders>
            <w:shd w:val="clear" w:color="auto" w:fill="FFFFFF"/>
            <w:tcMar>
              <w:top w:w="100" w:type="dxa"/>
              <w:left w:w="105" w:type="dxa"/>
              <w:bottom w:w="100" w:type="dxa"/>
              <w:right w:w="105" w:type="dxa"/>
            </w:tcMar>
            <w:vAlign w:val="center"/>
          </w:tcPr>
          <w:p w14:paraId="163CE06C" w14:textId="77777777" w:rsidR="00171114" w:rsidRDefault="00000000">
            <w:pPr>
              <w:spacing w:after="0" w:line="252" w:lineRule="auto"/>
              <w:rPr>
                <w:rFonts w:hint="eastAsia"/>
              </w:rPr>
            </w:pPr>
            <w:r>
              <w:rPr>
                <w:sz w:val="18"/>
              </w:rPr>
              <w:t>Why endpoint configuration matters in a Type II examination</w:t>
            </w:r>
          </w:p>
        </w:tc>
      </w:tr>
      <w:tr w:rsidR="00171114" w14:paraId="31624483" w14:textId="77777777">
        <w:trPr>
          <w:jc w:val="center"/>
        </w:trPr>
        <w:tc>
          <w:tcPr>
            <w:tcW w:w="1080" w:type="dxa"/>
            <w:tcBorders>
              <w:top w:val="single" w:sz="6" w:space="0" w:color="D9D9D9"/>
              <w:left w:val="single" w:sz="6" w:space="0" w:color="D9D9D9"/>
              <w:bottom w:val="single" w:sz="6" w:space="0" w:color="D9D9D9"/>
              <w:right w:val="single" w:sz="6" w:space="0" w:color="D9D9D9"/>
            </w:tcBorders>
            <w:shd w:val="clear" w:color="auto" w:fill="FFF8DB"/>
            <w:tcMar>
              <w:top w:w="100" w:type="dxa"/>
              <w:left w:w="105" w:type="dxa"/>
              <w:bottom w:w="100" w:type="dxa"/>
              <w:right w:w="105" w:type="dxa"/>
            </w:tcMar>
            <w:vAlign w:val="center"/>
          </w:tcPr>
          <w:p w14:paraId="45FF0A8C" w14:textId="77777777" w:rsidR="00171114" w:rsidRDefault="00000000">
            <w:pPr>
              <w:spacing w:after="0" w:line="252" w:lineRule="auto"/>
              <w:jc w:val="center"/>
              <w:rPr>
                <w:rFonts w:hint="eastAsia"/>
              </w:rPr>
            </w:pPr>
            <w:r>
              <w:rPr>
                <w:sz w:val="18"/>
              </w:rPr>
              <w:t>3</w:t>
            </w:r>
          </w:p>
        </w:tc>
        <w:tc>
          <w:tcPr>
            <w:tcW w:w="8568" w:type="dxa"/>
            <w:tcBorders>
              <w:top w:val="single" w:sz="6" w:space="0" w:color="D9D9D9"/>
              <w:left w:val="single" w:sz="6" w:space="0" w:color="D9D9D9"/>
              <w:bottom w:val="single" w:sz="6" w:space="0" w:color="D9D9D9"/>
              <w:right w:val="single" w:sz="6" w:space="0" w:color="D9D9D9"/>
            </w:tcBorders>
            <w:shd w:val="clear" w:color="auto" w:fill="FFF8DB"/>
            <w:tcMar>
              <w:top w:w="100" w:type="dxa"/>
              <w:left w:w="105" w:type="dxa"/>
              <w:bottom w:w="100" w:type="dxa"/>
              <w:right w:w="105" w:type="dxa"/>
            </w:tcMar>
            <w:vAlign w:val="center"/>
          </w:tcPr>
          <w:p w14:paraId="644475A6" w14:textId="77777777" w:rsidR="00171114" w:rsidRDefault="00000000">
            <w:pPr>
              <w:spacing w:after="0" w:line="252" w:lineRule="auto"/>
              <w:rPr>
                <w:rFonts w:hint="eastAsia"/>
              </w:rPr>
            </w:pPr>
            <w:r>
              <w:rPr>
                <w:sz w:val="18"/>
              </w:rPr>
              <w:t>How Senteon functions as control technology</w:t>
            </w:r>
          </w:p>
        </w:tc>
      </w:tr>
      <w:tr w:rsidR="00171114" w14:paraId="230F74AC" w14:textId="77777777">
        <w:trPr>
          <w:jc w:val="center"/>
        </w:trPr>
        <w:tc>
          <w:tcPr>
            <w:tcW w:w="1080" w:type="dxa"/>
            <w:tcBorders>
              <w:top w:val="single" w:sz="6" w:space="0" w:color="D9D9D9"/>
              <w:left w:val="single" w:sz="6" w:space="0" w:color="D9D9D9"/>
              <w:bottom w:val="single" w:sz="6" w:space="0" w:color="D9D9D9"/>
              <w:right w:val="single" w:sz="6" w:space="0" w:color="D9D9D9"/>
            </w:tcBorders>
            <w:shd w:val="clear" w:color="auto" w:fill="FFFFFF"/>
            <w:tcMar>
              <w:top w:w="100" w:type="dxa"/>
              <w:left w:w="105" w:type="dxa"/>
              <w:bottom w:w="100" w:type="dxa"/>
              <w:right w:w="105" w:type="dxa"/>
            </w:tcMar>
            <w:vAlign w:val="center"/>
          </w:tcPr>
          <w:p w14:paraId="21EB1BF3" w14:textId="77777777" w:rsidR="00171114" w:rsidRDefault="00000000">
            <w:pPr>
              <w:spacing w:after="0" w:line="252" w:lineRule="auto"/>
              <w:jc w:val="center"/>
              <w:rPr>
                <w:rFonts w:hint="eastAsia"/>
              </w:rPr>
            </w:pPr>
            <w:r>
              <w:rPr>
                <w:sz w:val="18"/>
              </w:rPr>
              <w:t>4</w:t>
            </w:r>
          </w:p>
        </w:tc>
        <w:tc>
          <w:tcPr>
            <w:tcW w:w="8568" w:type="dxa"/>
            <w:tcBorders>
              <w:top w:val="single" w:sz="6" w:space="0" w:color="D9D9D9"/>
              <w:left w:val="single" w:sz="6" w:space="0" w:color="D9D9D9"/>
              <w:bottom w:val="single" w:sz="6" w:space="0" w:color="D9D9D9"/>
              <w:right w:val="single" w:sz="6" w:space="0" w:color="D9D9D9"/>
            </w:tcBorders>
            <w:shd w:val="clear" w:color="auto" w:fill="FFFFFF"/>
            <w:tcMar>
              <w:top w:w="100" w:type="dxa"/>
              <w:left w:w="105" w:type="dxa"/>
              <w:bottom w:w="100" w:type="dxa"/>
              <w:right w:w="105" w:type="dxa"/>
            </w:tcMar>
            <w:vAlign w:val="center"/>
          </w:tcPr>
          <w:p w14:paraId="539C0242" w14:textId="77777777" w:rsidR="00171114" w:rsidRDefault="00000000">
            <w:pPr>
              <w:spacing w:after="0" w:line="252" w:lineRule="auto"/>
              <w:rPr>
                <w:rFonts w:hint="eastAsia"/>
              </w:rPr>
            </w:pPr>
            <w:r>
              <w:rPr>
                <w:sz w:val="18"/>
              </w:rPr>
              <w:t>SOC 2 control mapping</w:t>
            </w:r>
          </w:p>
        </w:tc>
      </w:tr>
      <w:tr w:rsidR="00171114" w14:paraId="1DD3B22B" w14:textId="77777777">
        <w:trPr>
          <w:jc w:val="center"/>
        </w:trPr>
        <w:tc>
          <w:tcPr>
            <w:tcW w:w="1080" w:type="dxa"/>
            <w:tcBorders>
              <w:top w:val="single" w:sz="6" w:space="0" w:color="D9D9D9"/>
              <w:left w:val="single" w:sz="6" w:space="0" w:color="D9D9D9"/>
              <w:bottom w:val="single" w:sz="6" w:space="0" w:color="D9D9D9"/>
              <w:right w:val="single" w:sz="6" w:space="0" w:color="D9D9D9"/>
            </w:tcBorders>
            <w:shd w:val="clear" w:color="auto" w:fill="FFF8DB"/>
            <w:tcMar>
              <w:top w:w="100" w:type="dxa"/>
              <w:left w:w="105" w:type="dxa"/>
              <w:bottom w:w="100" w:type="dxa"/>
              <w:right w:w="105" w:type="dxa"/>
            </w:tcMar>
            <w:vAlign w:val="center"/>
          </w:tcPr>
          <w:p w14:paraId="22FBA408" w14:textId="77777777" w:rsidR="00171114" w:rsidRDefault="00000000">
            <w:pPr>
              <w:spacing w:after="0" w:line="252" w:lineRule="auto"/>
              <w:jc w:val="center"/>
              <w:rPr>
                <w:rFonts w:hint="eastAsia"/>
              </w:rPr>
            </w:pPr>
            <w:r>
              <w:rPr>
                <w:sz w:val="18"/>
              </w:rPr>
              <w:t>5</w:t>
            </w:r>
          </w:p>
        </w:tc>
        <w:tc>
          <w:tcPr>
            <w:tcW w:w="8568" w:type="dxa"/>
            <w:tcBorders>
              <w:top w:val="single" w:sz="6" w:space="0" w:color="D9D9D9"/>
              <w:left w:val="single" w:sz="6" w:space="0" w:color="D9D9D9"/>
              <w:bottom w:val="single" w:sz="6" w:space="0" w:color="D9D9D9"/>
              <w:right w:val="single" w:sz="6" w:space="0" w:color="D9D9D9"/>
            </w:tcBorders>
            <w:shd w:val="clear" w:color="auto" w:fill="FFF8DB"/>
            <w:tcMar>
              <w:top w:w="100" w:type="dxa"/>
              <w:left w:w="105" w:type="dxa"/>
              <w:bottom w:w="100" w:type="dxa"/>
              <w:right w:w="105" w:type="dxa"/>
            </w:tcMar>
            <w:vAlign w:val="center"/>
          </w:tcPr>
          <w:p w14:paraId="2AD08D91" w14:textId="77777777" w:rsidR="00171114" w:rsidRDefault="00000000">
            <w:pPr>
              <w:spacing w:after="0" w:line="252" w:lineRule="auto"/>
              <w:rPr>
                <w:rFonts w:hint="eastAsia"/>
              </w:rPr>
            </w:pPr>
            <w:r>
              <w:rPr>
                <w:sz w:val="18"/>
              </w:rPr>
              <w:t>Evidence model for operating effectiveness</w:t>
            </w:r>
          </w:p>
        </w:tc>
      </w:tr>
      <w:tr w:rsidR="00171114" w14:paraId="43DD052B" w14:textId="77777777">
        <w:trPr>
          <w:jc w:val="center"/>
        </w:trPr>
        <w:tc>
          <w:tcPr>
            <w:tcW w:w="1080" w:type="dxa"/>
            <w:tcBorders>
              <w:top w:val="single" w:sz="6" w:space="0" w:color="D9D9D9"/>
              <w:left w:val="single" w:sz="6" w:space="0" w:color="D9D9D9"/>
              <w:bottom w:val="single" w:sz="6" w:space="0" w:color="D9D9D9"/>
              <w:right w:val="single" w:sz="6" w:space="0" w:color="D9D9D9"/>
            </w:tcBorders>
            <w:shd w:val="clear" w:color="auto" w:fill="FFFFFF"/>
            <w:tcMar>
              <w:top w:w="100" w:type="dxa"/>
              <w:left w:w="105" w:type="dxa"/>
              <w:bottom w:w="100" w:type="dxa"/>
              <w:right w:w="105" w:type="dxa"/>
            </w:tcMar>
            <w:vAlign w:val="center"/>
          </w:tcPr>
          <w:p w14:paraId="5D66E1D4" w14:textId="77777777" w:rsidR="00171114" w:rsidRDefault="00000000">
            <w:pPr>
              <w:spacing w:after="0" w:line="252" w:lineRule="auto"/>
              <w:jc w:val="center"/>
              <w:rPr>
                <w:rFonts w:hint="eastAsia"/>
              </w:rPr>
            </w:pPr>
            <w:r>
              <w:rPr>
                <w:sz w:val="18"/>
              </w:rPr>
              <w:t>6</w:t>
            </w:r>
          </w:p>
        </w:tc>
        <w:tc>
          <w:tcPr>
            <w:tcW w:w="8568" w:type="dxa"/>
            <w:tcBorders>
              <w:top w:val="single" w:sz="6" w:space="0" w:color="D9D9D9"/>
              <w:left w:val="single" w:sz="6" w:space="0" w:color="D9D9D9"/>
              <w:bottom w:val="single" w:sz="6" w:space="0" w:color="D9D9D9"/>
              <w:right w:val="single" w:sz="6" w:space="0" w:color="D9D9D9"/>
            </w:tcBorders>
            <w:shd w:val="clear" w:color="auto" w:fill="FFFFFF"/>
            <w:tcMar>
              <w:top w:w="100" w:type="dxa"/>
              <w:left w:w="105" w:type="dxa"/>
              <w:bottom w:w="100" w:type="dxa"/>
              <w:right w:w="105" w:type="dxa"/>
            </w:tcMar>
            <w:vAlign w:val="center"/>
          </w:tcPr>
          <w:p w14:paraId="4EF2636C" w14:textId="77777777" w:rsidR="00171114" w:rsidRDefault="00000000">
            <w:pPr>
              <w:spacing w:after="0" w:line="252" w:lineRule="auto"/>
              <w:rPr>
                <w:rFonts w:hint="eastAsia"/>
              </w:rPr>
            </w:pPr>
            <w:r>
              <w:rPr>
                <w:sz w:val="18"/>
              </w:rPr>
              <w:t>Control statements and audit procedures</w:t>
            </w:r>
          </w:p>
        </w:tc>
      </w:tr>
      <w:tr w:rsidR="00171114" w14:paraId="257B61C3" w14:textId="77777777">
        <w:trPr>
          <w:jc w:val="center"/>
        </w:trPr>
        <w:tc>
          <w:tcPr>
            <w:tcW w:w="1080" w:type="dxa"/>
            <w:tcBorders>
              <w:top w:val="single" w:sz="6" w:space="0" w:color="D9D9D9"/>
              <w:left w:val="single" w:sz="6" w:space="0" w:color="D9D9D9"/>
              <w:bottom w:val="single" w:sz="6" w:space="0" w:color="D9D9D9"/>
              <w:right w:val="single" w:sz="6" w:space="0" w:color="D9D9D9"/>
            </w:tcBorders>
            <w:shd w:val="clear" w:color="auto" w:fill="FFF8DB"/>
            <w:tcMar>
              <w:top w:w="100" w:type="dxa"/>
              <w:left w:w="105" w:type="dxa"/>
              <w:bottom w:w="100" w:type="dxa"/>
              <w:right w:w="105" w:type="dxa"/>
            </w:tcMar>
            <w:vAlign w:val="center"/>
          </w:tcPr>
          <w:p w14:paraId="111C21C9" w14:textId="77777777" w:rsidR="00171114" w:rsidRDefault="00000000">
            <w:pPr>
              <w:spacing w:after="0" w:line="252" w:lineRule="auto"/>
              <w:jc w:val="center"/>
              <w:rPr>
                <w:rFonts w:hint="eastAsia"/>
              </w:rPr>
            </w:pPr>
            <w:r>
              <w:rPr>
                <w:sz w:val="18"/>
              </w:rPr>
              <w:t>7</w:t>
            </w:r>
          </w:p>
        </w:tc>
        <w:tc>
          <w:tcPr>
            <w:tcW w:w="8568" w:type="dxa"/>
            <w:tcBorders>
              <w:top w:val="single" w:sz="6" w:space="0" w:color="D9D9D9"/>
              <w:left w:val="single" w:sz="6" w:space="0" w:color="D9D9D9"/>
              <w:bottom w:val="single" w:sz="6" w:space="0" w:color="D9D9D9"/>
              <w:right w:val="single" w:sz="6" w:space="0" w:color="D9D9D9"/>
            </w:tcBorders>
            <w:shd w:val="clear" w:color="auto" w:fill="FFF8DB"/>
            <w:tcMar>
              <w:top w:w="100" w:type="dxa"/>
              <w:left w:w="105" w:type="dxa"/>
              <w:bottom w:w="100" w:type="dxa"/>
              <w:right w:w="105" w:type="dxa"/>
            </w:tcMar>
            <w:vAlign w:val="center"/>
          </w:tcPr>
          <w:p w14:paraId="7F48C35A" w14:textId="77777777" w:rsidR="00171114" w:rsidRDefault="00000000">
            <w:pPr>
              <w:spacing w:after="0" w:line="252" w:lineRule="auto"/>
              <w:rPr>
                <w:rFonts w:hint="eastAsia"/>
              </w:rPr>
            </w:pPr>
            <w:r>
              <w:rPr>
                <w:sz w:val="18"/>
              </w:rPr>
              <w:t>Control boundaries and responsible claims</w:t>
            </w:r>
          </w:p>
        </w:tc>
      </w:tr>
      <w:tr w:rsidR="00171114" w14:paraId="3BD9849B" w14:textId="77777777">
        <w:trPr>
          <w:jc w:val="center"/>
        </w:trPr>
        <w:tc>
          <w:tcPr>
            <w:tcW w:w="1080" w:type="dxa"/>
            <w:tcBorders>
              <w:top w:val="single" w:sz="6" w:space="0" w:color="D9D9D9"/>
              <w:left w:val="single" w:sz="6" w:space="0" w:color="D9D9D9"/>
              <w:bottom w:val="single" w:sz="6" w:space="0" w:color="D9D9D9"/>
              <w:right w:val="single" w:sz="6" w:space="0" w:color="D9D9D9"/>
            </w:tcBorders>
            <w:shd w:val="clear" w:color="auto" w:fill="FFFFFF"/>
            <w:tcMar>
              <w:top w:w="100" w:type="dxa"/>
              <w:left w:w="105" w:type="dxa"/>
              <w:bottom w:w="100" w:type="dxa"/>
              <w:right w:w="105" w:type="dxa"/>
            </w:tcMar>
            <w:vAlign w:val="center"/>
          </w:tcPr>
          <w:p w14:paraId="0962384E" w14:textId="77777777" w:rsidR="00171114" w:rsidRDefault="00000000">
            <w:pPr>
              <w:spacing w:after="0" w:line="252" w:lineRule="auto"/>
              <w:jc w:val="center"/>
              <w:rPr>
                <w:rFonts w:hint="eastAsia"/>
              </w:rPr>
            </w:pPr>
            <w:r>
              <w:rPr>
                <w:sz w:val="18"/>
              </w:rPr>
              <w:t>8</w:t>
            </w:r>
          </w:p>
        </w:tc>
        <w:tc>
          <w:tcPr>
            <w:tcW w:w="8568" w:type="dxa"/>
            <w:tcBorders>
              <w:top w:val="single" w:sz="6" w:space="0" w:color="D9D9D9"/>
              <w:left w:val="single" w:sz="6" w:space="0" w:color="D9D9D9"/>
              <w:bottom w:val="single" w:sz="6" w:space="0" w:color="D9D9D9"/>
              <w:right w:val="single" w:sz="6" w:space="0" w:color="D9D9D9"/>
            </w:tcBorders>
            <w:shd w:val="clear" w:color="auto" w:fill="FFFFFF"/>
            <w:tcMar>
              <w:top w:w="100" w:type="dxa"/>
              <w:left w:w="105" w:type="dxa"/>
              <w:bottom w:w="100" w:type="dxa"/>
              <w:right w:w="105" w:type="dxa"/>
            </w:tcMar>
            <w:vAlign w:val="center"/>
          </w:tcPr>
          <w:p w14:paraId="1816C03C" w14:textId="77777777" w:rsidR="00171114" w:rsidRDefault="00000000">
            <w:pPr>
              <w:spacing w:after="0" w:line="252" w:lineRule="auto"/>
              <w:rPr>
                <w:rFonts w:hint="eastAsia"/>
              </w:rPr>
            </w:pPr>
            <w:r>
              <w:rPr>
                <w:sz w:val="18"/>
              </w:rPr>
              <w:t>Implementation model</w:t>
            </w:r>
          </w:p>
        </w:tc>
      </w:tr>
    </w:tbl>
    <w:p w14:paraId="22C0FABD" w14:textId="77777777" w:rsidR="00171114" w:rsidRDefault="00171114">
      <w:pPr>
        <w:spacing w:after="20"/>
        <w:rPr>
          <w:rFonts w:hint="eastAsia"/>
        </w:rPr>
      </w:pPr>
    </w:p>
    <w:p w14:paraId="605FE2A0" w14:textId="77777777" w:rsidR="00171114" w:rsidRDefault="00000000">
      <w:pPr>
        <w:pStyle w:val="Heading1"/>
        <w:pageBreakBefore/>
      </w:pPr>
      <w:r>
        <w:rPr>
          <w:rFonts w:ascii="DejaVu Sans" w:hAnsi="DejaVu Sans"/>
          <w:color w:val="FAAB17"/>
        </w:rPr>
        <w:lastRenderedPageBreak/>
        <w:t xml:space="preserve">2  </w:t>
      </w:r>
      <w:r>
        <w:rPr>
          <w:rFonts w:ascii="DejaVu Sans" w:hAnsi="DejaVu Sans"/>
        </w:rPr>
        <w:t>Why Endpoint Configuration Matters in a Type II Examination</w:t>
      </w:r>
    </w:p>
    <w:p w14:paraId="5985F648" w14:textId="77777777" w:rsidR="00171114" w:rsidRDefault="00000000">
      <w:pPr>
        <w:rPr>
          <w:rFonts w:hint="eastAsia"/>
        </w:rPr>
      </w:pPr>
      <w:r>
        <w:t>A secure baseline is necessary, but it is not sufficient. Endpoints change continuously as operating systems update, administrators troubleshoot, software installs, local users change settings, and business requirements create exceptions. The control fails when the approved configuration and the actual endpoint state separate without detection or correction.</w:t>
      </w:r>
    </w:p>
    <w:p w14:paraId="0346000D" w14:textId="31CDC3EF" w:rsidR="00171114" w:rsidRDefault="00000000">
      <w:pPr>
        <w:rPr>
          <w:rFonts w:hint="eastAsia"/>
        </w:rPr>
      </w:pPr>
      <w:r>
        <w:t>That is why</w:t>
      </w:r>
      <w:r w:rsidR="00263FB4">
        <w:t xml:space="preserve"> </w:t>
      </w:r>
      <w:r w:rsidRPr="00263FB4">
        <w:rPr>
          <w:b/>
          <w:bCs/>
        </w:rPr>
        <w:t>configuration drift</w:t>
      </w:r>
      <w:r>
        <w:t xml:space="preserve"> is a SOC 2 problem rather than only an engineering problem. Drift can weaken password controls, expose remote access services, disable firewall protections, loosen file sharing, change audit policy, or reduce antimalware enforcement. If the organization cannot show how it identifies and handles those changes, the auditor may see a control that exists on paper but lacks evidence of consistent operation.</w:t>
      </w:r>
    </w:p>
    <w:p w14:paraId="2F7CA8AC" w14:textId="77777777" w:rsidR="00171114" w:rsidRDefault="00000000">
      <w:pPr>
        <w:keepLines/>
        <w:spacing w:before="100" w:after="140"/>
        <w:rPr>
          <w:rFonts w:hint="eastAsia"/>
        </w:rPr>
      </w:pPr>
      <w:r>
        <w:rPr>
          <w:b/>
          <w:color w:val="FAAB17"/>
          <w:sz w:val="22"/>
        </w:rPr>
        <w:t xml:space="preserve">The Type II difference </w:t>
      </w:r>
      <w:r>
        <w:rPr>
          <w:b/>
          <w:color w:val="000000"/>
          <w:sz w:val="22"/>
        </w:rPr>
        <w:t>A point-in-time screenshot shows a device state. A Type II evidence set shows that the control operated across the period, across the population, and through the exceptions.</w:t>
      </w:r>
    </w:p>
    <w:p w14:paraId="5C5F9FEF" w14:textId="77777777" w:rsidR="00171114" w:rsidRDefault="00000000">
      <w:pPr>
        <w:pStyle w:val="Heading2"/>
      </w:pPr>
      <w:r>
        <w:rPr>
          <w:rFonts w:ascii="DejaVu Sans" w:hAnsi="DejaVu Sans"/>
        </w:rPr>
        <w:t>The control lifecycle</w:t>
      </w:r>
    </w:p>
    <w:p w14:paraId="5B876F4F" w14:textId="77777777" w:rsidR="00171114" w:rsidRDefault="00000000">
      <w:pPr>
        <w:spacing w:after="80"/>
        <w:ind w:left="403" w:hanging="230"/>
        <w:rPr>
          <w:rFonts w:hint="eastAsia"/>
        </w:rPr>
      </w:pPr>
      <w:r>
        <w:t>1.  Define an approved security configuration baseline for each supported endpoint profile.</w:t>
      </w:r>
    </w:p>
    <w:p w14:paraId="75C62195" w14:textId="77777777" w:rsidR="00171114" w:rsidRDefault="00000000">
      <w:pPr>
        <w:spacing w:after="80"/>
        <w:ind w:left="403" w:hanging="230"/>
        <w:rPr>
          <w:rFonts w:hint="eastAsia"/>
        </w:rPr>
      </w:pPr>
      <w:r>
        <w:t>2.  Deploy the baseline to the complete in-scope endpoint population.</w:t>
      </w:r>
    </w:p>
    <w:p w14:paraId="4D0342F2" w14:textId="77777777" w:rsidR="00171114" w:rsidRDefault="00000000">
      <w:pPr>
        <w:spacing w:after="80"/>
        <w:ind w:left="403" w:hanging="230"/>
        <w:rPr>
          <w:rFonts w:hint="eastAsia"/>
        </w:rPr>
      </w:pPr>
      <w:r>
        <w:t>3.  Monitor actual settings against target values on an ongoing basis.</w:t>
      </w:r>
    </w:p>
    <w:p w14:paraId="112C1476" w14:textId="77777777" w:rsidR="00171114" w:rsidRDefault="00000000">
      <w:pPr>
        <w:spacing w:after="80"/>
        <w:ind w:left="403" w:hanging="230"/>
        <w:rPr>
          <w:rFonts w:hint="eastAsia"/>
        </w:rPr>
      </w:pPr>
      <w:r>
        <w:t>4.  Detect configuration drift, offline agents, unmanaged settings, and unapproved deviations.</w:t>
      </w:r>
    </w:p>
    <w:p w14:paraId="63199E79" w14:textId="77777777" w:rsidR="00171114" w:rsidRDefault="00000000">
      <w:pPr>
        <w:spacing w:after="80"/>
        <w:ind w:left="403" w:hanging="230"/>
        <w:rPr>
          <w:rFonts w:hint="eastAsia"/>
        </w:rPr>
      </w:pPr>
      <w:r>
        <w:t>5.  Remediate drift automatically or through a documented response process.</w:t>
      </w:r>
    </w:p>
    <w:p w14:paraId="68E17D38" w14:textId="77777777" w:rsidR="00171114" w:rsidRDefault="00000000">
      <w:pPr>
        <w:spacing w:after="80"/>
        <w:ind w:left="403" w:hanging="230"/>
        <w:rPr>
          <w:rFonts w:hint="eastAsia"/>
        </w:rPr>
      </w:pPr>
      <w:r>
        <w:t>6.  Retain history, exceptions, review records, and reports as evidence of control operation.</w:t>
      </w:r>
    </w:p>
    <w:p w14:paraId="2D8DB173" w14:textId="77777777" w:rsidR="00171114" w:rsidRDefault="00000000">
      <w:pPr>
        <w:rPr>
          <w:rFonts w:hint="eastAsia"/>
        </w:rPr>
      </w:pPr>
      <w:r>
        <w:t>Traditional management tools can establish a desired configuration, but the audit burden remains if they cannot show the resulting state and its history clearly. Senteon is most valuable when it becomes the evidence source for the entire lifecycle rather than another dashboard reviewed only before the audit.</w:t>
      </w:r>
    </w:p>
    <w:p w14:paraId="2FDD5608" w14:textId="77777777" w:rsidR="00171114" w:rsidRDefault="00000000">
      <w:pPr>
        <w:pStyle w:val="Heading1"/>
        <w:pageBreakBefore/>
      </w:pPr>
      <w:r>
        <w:rPr>
          <w:rFonts w:ascii="DejaVu Sans" w:hAnsi="DejaVu Sans"/>
          <w:color w:val="FAAB17"/>
        </w:rPr>
        <w:lastRenderedPageBreak/>
        <w:t xml:space="preserve">3  </w:t>
      </w:r>
      <w:r>
        <w:rPr>
          <w:rFonts w:ascii="DejaVu Sans" w:hAnsi="DejaVu Sans"/>
        </w:rPr>
        <w:t>How Senteon Functions as Control Technology</w:t>
      </w:r>
    </w:p>
    <w:p w14:paraId="593A2ECC" w14:textId="11F3F7FC" w:rsidR="00171114" w:rsidRDefault="00000000">
      <w:pPr>
        <w:rPr>
          <w:rFonts w:hint="eastAsia"/>
        </w:rPr>
      </w:pPr>
      <w:r>
        <w:t>Senteon organizes endpoints into baseline groups and exception groups. Each group is associated with a target configuration set that defines the intended setting values. The agent evaluates endpoints against that target state, reports whether settings are healthy or drifted, and retains setting-level history. Senteon</w:t>
      </w:r>
      <w:r w:rsidR="00263FB4">
        <w:t xml:space="preserve"> helps provide</w:t>
      </w:r>
      <w:r>
        <w:t xml:space="preserve"> documentation describ</w:t>
      </w:r>
      <w:r w:rsidR="00263FB4">
        <w:t>ing</w:t>
      </w:r>
      <w:r>
        <w:t xml:space="preserve"> historical events such as target changes, discovered changes, drift, reconfiguration, and automatic or manual realignment. [3]</w:t>
      </w:r>
    </w:p>
    <w:p w14:paraId="2822234D" w14:textId="77777777" w:rsidR="00171114" w:rsidRDefault="00000000">
      <w:pPr>
        <w:pStyle w:val="Heading2"/>
      </w:pPr>
      <w:r>
        <w:rPr>
          <w:rFonts w:ascii="DejaVu Sans" w:hAnsi="DejaVu Sans"/>
        </w:rPr>
        <w:t>Platform capabilities relevant to SOC 2</w:t>
      </w:r>
    </w:p>
    <w:tbl>
      <w:tblPr>
        <w:tblW w:w="0" w:type="auto"/>
        <w:jc w:val="center"/>
        <w:tblLayout w:type="fixed"/>
        <w:tblLook w:val="04A0" w:firstRow="1" w:lastRow="0" w:firstColumn="1" w:lastColumn="0" w:noHBand="0" w:noVBand="1"/>
      </w:tblPr>
      <w:tblGrid>
        <w:gridCol w:w="2232"/>
        <w:gridCol w:w="3528"/>
        <w:gridCol w:w="3888"/>
      </w:tblGrid>
      <w:tr w:rsidR="00171114" w14:paraId="1709EFBB" w14:textId="77777777">
        <w:trPr>
          <w:tblHeade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171717"/>
            <w:tcMar>
              <w:top w:w="115" w:type="dxa"/>
              <w:left w:w="110" w:type="dxa"/>
              <w:bottom w:w="115" w:type="dxa"/>
              <w:right w:w="110" w:type="dxa"/>
            </w:tcMar>
            <w:vAlign w:val="center"/>
          </w:tcPr>
          <w:p w14:paraId="40B0F69F" w14:textId="77777777" w:rsidR="00171114" w:rsidRDefault="00000000">
            <w:pPr>
              <w:spacing w:after="0"/>
              <w:jc w:val="center"/>
              <w:rPr>
                <w:rFonts w:hint="eastAsia"/>
              </w:rPr>
            </w:pPr>
            <w:r>
              <w:rPr>
                <w:b/>
                <w:color w:val="FFFFFF"/>
                <w:sz w:val="16"/>
              </w:rPr>
              <w:t>Capability</w:t>
            </w:r>
          </w:p>
        </w:tc>
        <w:tc>
          <w:tcPr>
            <w:tcW w:w="3528" w:type="dxa"/>
            <w:tcBorders>
              <w:top w:val="single" w:sz="6" w:space="0" w:color="D9D9D9"/>
              <w:left w:val="single" w:sz="6" w:space="0" w:color="D9D9D9"/>
              <w:bottom w:val="single" w:sz="6" w:space="0" w:color="D9D9D9"/>
              <w:right w:val="single" w:sz="6" w:space="0" w:color="D9D9D9"/>
            </w:tcBorders>
            <w:shd w:val="clear" w:color="auto" w:fill="171717"/>
            <w:tcMar>
              <w:top w:w="115" w:type="dxa"/>
              <w:left w:w="110" w:type="dxa"/>
              <w:bottom w:w="115" w:type="dxa"/>
              <w:right w:w="110" w:type="dxa"/>
            </w:tcMar>
            <w:vAlign w:val="center"/>
          </w:tcPr>
          <w:p w14:paraId="5FF20DB2" w14:textId="77777777" w:rsidR="00171114" w:rsidRDefault="00000000">
            <w:pPr>
              <w:spacing w:after="0"/>
              <w:rPr>
                <w:rFonts w:hint="eastAsia"/>
              </w:rPr>
            </w:pPr>
            <w:r>
              <w:rPr>
                <w:b/>
                <w:color w:val="FFFFFF"/>
                <w:sz w:val="16"/>
              </w:rPr>
              <w:t>Control purpose</w:t>
            </w:r>
          </w:p>
        </w:tc>
        <w:tc>
          <w:tcPr>
            <w:tcW w:w="3888" w:type="dxa"/>
            <w:tcBorders>
              <w:top w:val="single" w:sz="6" w:space="0" w:color="D9D9D9"/>
              <w:left w:val="single" w:sz="6" w:space="0" w:color="D9D9D9"/>
              <w:bottom w:val="single" w:sz="6" w:space="0" w:color="D9D9D9"/>
              <w:right w:val="single" w:sz="6" w:space="0" w:color="D9D9D9"/>
            </w:tcBorders>
            <w:shd w:val="clear" w:color="auto" w:fill="171717"/>
            <w:tcMar>
              <w:top w:w="115" w:type="dxa"/>
              <w:left w:w="110" w:type="dxa"/>
              <w:bottom w:w="115" w:type="dxa"/>
              <w:right w:w="110" w:type="dxa"/>
            </w:tcMar>
            <w:vAlign w:val="center"/>
          </w:tcPr>
          <w:p w14:paraId="640460FF" w14:textId="77777777" w:rsidR="00171114" w:rsidRDefault="00000000">
            <w:pPr>
              <w:spacing w:after="0"/>
              <w:rPr>
                <w:rFonts w:hint="eastAsia"/>
              </w:rPr>
            </w:pPr>
            <w:r>
              <w:rPr>
                <w:b/>
                <w:color w:val="FFFFFF"/>
                <w:sz w:val="16"/>
              </w:rPr>
              <w:t>Type II evidence value</w:t>
            </w:r>
          </w:p>
        </w:tc>
      </w:tr>
      <w:tr w:rsidR="00171114" w14:paraId="692D2E7A" w14:textId="77777777">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FFFFFF"/>
            <w:tcMar>
              <w:top w:w="100" w:type="dxa"/>
              <w:left w:w="105" w:type="dxa"/>
              <w:bottom w:w="100" w:type="dxa"/>
              <w:right w:w="105" w:type="dxa"/>
            </w:tcMar>
            <w:vAlign w:val="center"/>
          </w:tcPr>
          <w:p w14:paraId="733E8B48" w14:textId="77777777" w:rsidR="00171114" w:rsidRDefault="00000000">
            <w:pPr>
              <w:spacing w:after="0" w:line="252" w:lineRule="auto"/>
              <w:jc w:val="center"/>
              <w:rPr>
                <w:rFonts w:hint="eastAsia"/>
              </w:rPr>
            </w:pPr>
            <w:r>
              <w:rPr>
                <w:sz w:val="16"/>
              </w:rPr>
              <w:t>Baseline configuration sets</w:t>
            </w:r>
          </w:p>
        </w:tc>
        <w:tc>
          <w:tcPr>
            <w:tcW w:w="3528" w:type="dxa"/>
            <w:tcBorders>
              <w:top w:val="single" w:sz="6" w:space="0" w:color="D9D9D9"/>
              <w:left w:val="single" w:sz="6" w:space="0" w:color="D9D9D9"/>
              <w:bottom w:val="single" w:sz="6" w:space="0" w:color="D9D9D9"/>
              <w:right w:val="single" w:sz="6" w:space="0" w:color="D9D9D9"/>
            </w:tcBorders>
            <w:shd w:val="clear" w:color="auto" w:fill="FFFFFF"/>
            <w:tcMar>
              <w:top w:w="100" w:type="dxa"/>
              <w:left w:w="105" w:type="dxa"/>
              <w:bottom w:w="100" w:type="dxa"/>
              <w:right w:w="105" w:type="dxa"/>
            </w:tcMar>
            <w:vAlign w:val="center"/>
          </w:tcPr>
          <w:p w14:paraId="41724BC2" w14:textId="77777777" w:rsidR="00171114" w:rsidRDefault="00000000">
            <w:pPr>
              <w:spacing w:after="0" w:line="252" w:lineRule="auto"/>
              <w:rPr>
                <w:rFonts w:hint="eastAsia"/>
              </w:rPr>
            </w:pPr>
            <w:r>
              <w:rPr>
                <w:sz w:val="16"/>
              </w:rPr>
              <w:t>Define the approved endpoint security state by profile or group</w:t>
            </w:r>
          </w:p>
        </w:tc>
        <w:tc>
          <w:tcPr>
            <w:tcW w:w="3888" w:type="dxa"/>
            <w:tcBorders>
              <w:top w:val="single" w:sz="6" w:space="0" w:color="D9D9D9"/>
              <w:left w:val="single" w:sz="6" w:space="0" w:color="D9D9D9"/>
              <w:bottom w:val="single" w:sz="6" w:space="0" w:color="D9D9D9"/>
              <w:right w:val="single" w:sz="6" w:space="0" w:color="D9D9D9"/>
            </w:tcBorders>
            <w:shd w:val="clear" w:color="auto" w:fill="FFFFFF"/>
            <w:tcMar>
              <w:top w:w="100" w:type="dxa"/>
              <w:left w:w="105" w:type="dxa"/>
              <w:bottom w:w="100" w:type="dxa"/>
              <w:right w:w="105" w:type="dxa"/>
            </w:tcMar>
            <w:vAlign w:val="center"/>
          </w:tcPr>
          <w:p w14:paraId="58D11C07" w14:textId="77777777" w:rsidR="00171114" w:rsidRDefault="00000000">
            <w:pPr>
              <w:spacing w:after="0" w:line="252" w:lineRule="auto"/>
              <w:rPr>
                <w:rFonts w:hint="eastAsia"/>
              </w:rPr>
            </w:pPr>
            <w:r>
              <w:rPr>
                <w:sz w:val="16"/>
              </w:rPr>
              <w:t>Shows the control design and expected configuration</w:t>
            </w:r>
          </w:p>
        </w:tc>
      </w:tr>
      <w:tr w:rsidR="00171114" w14:paraId="03613A15" w14:textId="77777777">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FFF8DB"/>
            <w:tcMar>
              <w:top w:w="100" w:type="dxa"/>
              <w:left w:w="105" w:type="dxa"/>
              <w:bottom w:w="100" w:type="dxa"/>
              <w:right w:w="105" w:type="dxa"/>
            </w:tcMar>
            <w:vAlign w:val="center"/>
          </w:tcPr>
          <w:p w14:paraId="055CFAC8" w14:textId="77777777" w:rsidR="00171114" w:rsidRDefault="00000000">
            <w:pPr>
              <w:spacing w:after="0" w:line="252" w:lineRule="auto"/>
              <w:jc w:val="center"/>
              <w:rPr>
                <w:rFonts w:hint="eastAsia"/>
              </w:rPr>
            </w:pPr>
            <w:r>
              <w:rPr>
                <w:sz w:val="16"/>
              </w:rPr>
              <w:t>Guided hardening decisions</w:t>
            </w:r>
          </w:p>
        </w:tc>
        <w:tc>
          <w:tcPr>
            <w:tcW w:w="3528" w:type="dxa"/>
            <w:tcBorders>
              <w:top w:val="single" w:sz="6" w:space="0" w:color="D9D9D9"/>
              <w:left w:val="single" w:sz="6" w:space="0" w:color="D9D9D9"/>
              <w:bottom w:val="single" w:sz="6" w:space="0" w:color="D9D9D9"/>
              <w:right w:val="single" w:sz="6" w:space="0" w:color="D9D9D9"/>
            </w:tcBorders>
            <w:shd w:val="clear" w:color="auto" w:fill="FFF8DB"/>
            <w:tcMar>
              <w:top w:w="100" w:type="dxa"/>
              <w:left w:w="105" w:type="dxa"/>
              <w:bottom w:w="100" w:type="dxa"/>
              <w:right w:w="105" w:type="dxa"/>
            </w:tcMar>
            <w:vAlign w:val="center"/>
          </w:tcPr>
          <w:p w14:paraId="5B0D72D1" w14:textId="77777777" w:rsidR="00171114" w:rsidRDefault="00000000">
            <w:pPr>
              <w:spacing w:after="0" w:line="252" w:lineRule="auto"/>
              <w:rPr>
                <w:rFonts w:hint="eastAsia"/>
              </w:rPr>
            </w:pPr>
            <w:r>
              <w:rPr>
                <w:sz w:val="16"/>
              </w:rPr>
              <w:t>Adapt benchmark recommendations to operational requirements</w:t>
            </w:r>
          </w:p>
        </w:tc>
        <w:tc>
          <w:tcPr>
            <w:tcW w:w="3888" w:type="dxa"/>
            <w:tcBorders>
              <w:top w:val="single" w:sz="6" w:space="0" w:color="D9D9D9"/>
              <w:left w:val="single" w:sz="6" w:space="0" w:color="D9D9D9"/>
              <w:bottom w:val="single" w:sz="6" w:space="0" w:color="D9D9D9"/>
              <w:right w:val="single" w:sz="6" w:space="0" w:color="D9D9D9"/>
            </w:tcBorders>
            <w:shd w:val="clear" w:color="auto" w:fill="FFF8DB"/>
            <w:tcMar>
              <w:top w:w="100" w:type="dxa"/>
              <w:left w:w="105" w:type="dxa"/>
              <w:bottom w:w="100" w:type="dxa"/>
              <w:right w:w="105" w:type="dxa"/>
            </w:tcMar>
            <w:vAlign w:val="center"/>
          </w:tcPr>
          <w:p w14:paraId="2DFAA38E" w14:textId="77777777" w:rsidR="00171114" w:rsidRDefault="00000000">
            <w:pPr>
              <w:spacing w:after="0" w:line="252" w:lineRule="auto"/>
              <w:rPr>
                <w:rFonts w:hint="eastAsia"/>
              </w:rPr>
            </w:pPr>
            <w:r>
              <w:rPr>
                <w:sz w:val="16"/>
              </w:rPr>
              <w:t>Shows that baseline decisions were deliberate</w:t>
            </w:r>
          </w:p>
        </w:tc>
      </w:tr>
      <w:tr w:rsidR="00171114" w14:paraId="0D0CA23F" w14:textId="77777777">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FFFFFF"/>
            <w:tcMar>
              <w:top w:w="100" w:type="dxa"/>
              <w:left w:w="105" w:type="dxa"/>
              <w:bottom w:w="100" w:type="dxa"/>
              <w:right w:w="105" w:type="dxa"/>
            </w:tcMar>
            <w:vAlign w:val="center"/>
          </w:tcPr>
          <w:p w14:paraId="43FDF3A6" w14:textId="77777777" w:rsidR="00171114" w:rsidRDefault="00000000">
            <w:pPr>
              <w:spacing w:after="0" w:line="252" w:lineRule="auto"/>
              <w:jc w:val="center"/>
              <w:rPr>
                <w:rFonts w:hint="eastAsia"/>
              </w:rPr>
            </w:pPr>
            <w:r>
              <w:rPr>
                <w:sz w:val="16"/>
              </w:rPr>
              <w:t>Exception groups</w:t>
            </w:r>
          </w:p>
        </w:tc>
        <w:tc>
          <w:tcPr>
            <w:tcW w:w="3528" w:type="dxa"/>
            <w:tcBorders>
              <w:top w:val="single" w:sz="6" w:space="0" w:color="D9D9D9"/>
              <w:left w:val="single" w:sz="6" w:space="0" w:color="D9D9D9"/>
              <w:bottom w:val="single" w:sz="6" w:space="0" w:color="D9D9D9"/>
              <w:right w:val="single" w:sz="6" w:space="0" w:color="D9D9D9"/>
            </w:tcBorders>
            <w:shd w:val="clear" w:color="auto" w:fill="FFFFFF"/>
            <w:tcMar>
              <w:top w:w="100" w:type="dxa"/>
              <w:left w:w="105" w:type="dxa"/>
              <w:bottom w:w="100" w:type="dxa"/>
              <w:right w:w="105" w:type="dxa"/>
            </w:tcMar>
            <w:vAlign w:val="center"/>
          </w:tcPr>
          <w:p w14:paraId="0078EDBE" w14:textId="77777777" w:rsidR="00171114" w:rsidRDefault="00000000">
            <w:pPr>
              <w:spacing w:after="0" w:line="252" w:lineRule="auto"/>
              <w:rPr>
                <w:rFonts w:hint="eastAsia"/>
              </w:rPr>
            </w:pPr>
            <w:r>
              <w:rPr>
                <w:sz w:val="16"/>
              </w:rPr>
              <w:t>Separate justified deviations from the primary baseline</w:t>
            </w:r>
          </w:p>
        </w:tc>
        <w:tc>
          <w:tcPr>
            <w:tcW w:w="3888" w:type="dxa"/>
            <w:tcBorders>
              <w:top w:val="single" w:sz="6" w:space="0" w:color="D9D9D9"/>
              <w:left w:val="single" w:sz="6" w:space="0" w:color="D9D9D9"/>
              <w:bottom w:val="single" w:sz="6" w:space="0" w:color="D9D9D9"/>
              <w:right w:val="single" w:sz="6" w:space="0" w:color="D9D9D9"/>
            </w:tcBorders>
            <w:shd w:val="clear" w:color="auto" w:fill="FFFFFF"/>
            <w:tcMar>
              <w:top w:w="100" w:type="dxa"/>
              <w:left w:w="105" w:type="dxa"/>
              <w:bottom w:w="100" w:type="dxa"/>
              <w:right w:w="105" w:type="dxa"/>
            </w:tcMar>
            <w:vAlign w:val="center"/>
          </w:tcPr>
          <w:p w14:paraId="3A453B9C" w14:textId="77777777" w:rsidR="00171114" w:rsidRDefault="00000000">
            <w:pPr>
              <w:spacing w:after="0" w:line="252" w:lineRule="auto"/>
              <w:rPr>
                <w:rFonts w:hint="eastAsia"/>
              </w:rPr>
            </w:pPr>
            <w:r>
              <w:rPr>
                <w:sz w:val="16"/>
              </w:rPr>
              <w:t>Supports population-specific testing and exception governance</w:t>
            </w:r>
          </w:p>
        </w:tc>
      </w:tr>
      <w:tr w:rsidR="00171114" w14:paraId="0F68BBE2" w14:textId="77777777">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FFF8DB"/>
            <w:tcMar>
              <w:top w:w="100" w:type="dxa"/>
              <w:left w:w="105" w:type="dxa"/>
              <w:bottom w:w="100" w:type="dxa"/>
              <w:right w:w="105" w:type="dxa"/>
            </w:tcMar>
            <w:vAlign w:val="center"/>
          </w:tcPr>
          <w:p w14:paraId="38B91045" w14:textId="77777777" w:rsidR="00171114" w:rsidRDefault="00000000">
            <w:pPr>
              <w:spacing w:after="0" w:line="252" w:lineRule="auto"/>
              <w:jc w:val="center"/>
              <w:rPr>
                <w:rFonts w:hint="eastAsia"/>
              </w:rPr>
            </w:pPr>
            <w:r>
              <w:rPr>
                <w:sz w:val="16"/>
              </w:rPr>
              <w:t>Continuous drift monitoring</w:t>
            </w:r>
          </w:p>
        </w:tc>
        <w:tc>
          <w:tcPr>
            <w:tcW w:w="3528" w:type="dxa"/>
            <w:tcBorders>
              <w:top w:val="single" w:sz="6" w:space="0" w:color="D9D9D9"/>
              <w:left w:val="single" w:sz="6" w:space="0" w:color="D9D9D9"/>
              <w:bottom w:val="single" w:sz="6" w:space="0" w:color="D9D9D9"/>
              <w:right w:val="single" w:sz="6" w:space="0" w:color="D9D9D9"/>
            </w:tcBorders>
            <w:shd w:val="clear" w:color="auto" w:fill="FFF8DB"/>
            <w:tcMar>
              <w:top w:w="100" w:type="dxa"/>
              <w:left w:w="105" w:type="dxa"/>
              <w:bottom w:w="100" w:type="dxa"/>
              <w:right w:w="105" w:type="dxa"/>
            </w:tcMar>
            <w:vAlign w:val="center"/>
          </w:tcPr>
          <w:p w14:paraId="2EB2088D" w14:textId="77777777" w:rsidR="00171114" w:rsidRDefault="00000000">
            <w:pPr>
              <w:spacing w:after="0" w:line="252" w:lineRule="auto"/>
              <w:rPr>
                <w:rFonts w:hint="eastAsia"/>
              </w:rPr>
            </w:pPr>
            <w:r>
              <w:rPr>
                <w:sz w:val="16"/>
              </w:rPr>
              <w:t>Compare current settings with target values</w:t>
            </w:r>
          </w:p>
        </w:tc>
        <w:tc>
          <w:tcPr>
            <w:tcW w:w="3888" w:type="dxa"/>
            <w:tcBorders>
              <w:top w:val="single" w:sz="6" w:space="0" w:color="D9D9D9"/>
              <w:left w:val="single" w:sz="6" w:space="0" w:color="D9D9D9"/>
              <w:bottom w:val="single" w:sz="6" w:space="0" w:color="D9D9D9"/>
              <w:right w:val="single" w:sz="6" w:space="0" w:color="D9D9D9"/>
            </w:tcBorders>
            <w:shd w:val="clear" w:color="auto" w:fill="FFF8DB"/>
            <w:tcMar>
              <w:top w:w="100" w:type="dxa"/>
              <w:left w:w="105" w:type="dxa"/>
              <w:bottom w:w="100" w:type="dxa"/>
              <w:right w:w="105" w:type="dxa"/>
            </w:tcMar>
            <w:vAlign w:val="center"/>
          </w:tcPr>
          <w:p w14:paraId="7EFEC8C2" w14:textId="77777777" w:rsidR="00171114" w:rsidRDefault="00000000">
            <w:pPr>
              <w:spacing w:after="0" w:line="252" w:lineRule="auto"/>
              <w:rPr>
                <w:rFonts w:hint="eastAsia"/>
              </w:rPr>
            </w:pPr>
            <w:r>
              <w:rPr>
                <w:sz w:val="16"/>
              </w:rPr>
              <w:t>Shows ongoing operation rather than a point-in-time assessment</w:t>
            </w:r>
          </w:p>
        </w:tc>
      </w:tr>
      <w:tr w:rsidR="00171114" w14:paraId="420A7EDC" w14:textId="77777777">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FFFFFF"/>
            <w:tcMar>
              <w:top w:w="100" w:type="dxa"/>
              <w:left w:w="105" w:type="dxa"/>
              <w:bottom w:w="100" w:type="dxa"/>
              <w:right w:w="105" w:type="dxa"/>
            </w:tcMar>
            <w:vAlign w:val="center"/>
          </w:tcPr>
          <w:p w14:paraId="3FFC74E4" w14:textId="77777777" w:rsidR="00171114" w:rsidRDefault="00000000">
            <w:pPr>
              <w:spacing w:after="0" w:line="252" w:lineRule="auto"/>
              <w:jc w:val="center"/>
              <w:rPr>
                <w:rFonts w:hint="eastAsia"/>
              </w:rPr>
            </w:pPr>
            <w:r>
              <w:rPr>
                <w:sz w:val="16"/>
              </w:rPr>
              <w:t>Automated realignment</w:t>
            </w:r>
          </w:p>
        </w:tc>
        <w:tc>
          <w:tcPr>
            <w:tcW w:w="3528" w:type="dxa"/>
            <w:tcBorders>
              <w:top w:val="single" w:sz="6" w:space="0" w:color="D9D9D9"/>
              <w:left w:val="single" w:sz="6" w:space="0" w:color="D9D9D9"/>
              <w:bottom w:val="single" w:sz="6" w:space="0" w:color="D9D9D9"/>
              <w:right w:val="single" w:sz="6" w:space="0" w:color="D9D9D9"/>
            </w:tcBorders>
            <w:shd w:val="clear" w:color="auto" w:fill="FFFFFF"/>
            <w:tcMar>
              <w:top w:w="100" w:type="dxa"/>
              <w:left w:w="105" w:type="dxa"/>
              <w:bottom w:w="100" w:type="dxa"/>
              <w:right w:w="105" w:type="dxa"/>
            </w:tcMar>
            <w:vAlign w:val="center"/>
          </w:tcPr>
          <w:p w14:paraId="531D139D" w14:textId="77777777" w:rsidR="00171114" w:rsidRDefault="00000000">
            <w:pPr>
              <w:spacing w:after="0" w:line="252" w:lineRule="auto"/>
              <w:rPr>
                <w:rFonts w:hint="eastAsia"/>
              </w:rPr>
            </w:pPr>
            <w:r>
              <w:rPr>
                <w:sz w:val="16"/>
              </w:rPr>
              <w:t>Return misaligned settings to the approved state</w:t>
            </w:r>
          </w:p>
        </w:tc>
        <w:tc>
          <w:tcPr>
            <w:tcW w:w="3888" w:type="dxa"/>
            <w:tcBorders>
              <w:top w:val="single" w:sz="6" w:space="0" w:color="D9D9D9"/>
              <w:left w:val="single" w:sz="6" w:space="0" w:color="D9D9D9"/>
              <w:bottom w:val="single" w:sz="6" w:space="0" w:color="D9D9D9"/>
              <w:right w:val="single" w:sz="6" w:space="0" w:color="D9D9D9"/>
            </w:tcBorders>
            <w:shd w:val="clear" w:color="auto" w:fill="FFFFFF"/>
            <w:tcMar>
              <w:top w:w="100" w:type="dxa"/>
              <w:left w:w="105" w:type="dxa"/>
              <w:bottom w:w="100" w:type="dxa"/>
              <w:right w:w="105" w:type="dxa"/>
            </w:tcMar>
            <w:vAlign w:val="center"/>
          </w:tcPr>
          <w:p w14:paraId="1D863E23" w14:textId="77777777" w:rsidR="00171114" w:rsidRDefault="00000000">
            <w:pPr>
              <w:spacing w:after="0" w:line="252" w:lineRule="auto"/>
              <w:rPr>
                <w:rFonts w:hint="eastAsia"/>
              </w:rPr>
            </w:pPr>
            <w:r>
              <w:rPr>
                <w:sz w:val="16"/>
              </w:rPr>
              <w:t>Shows corrective operation after drift</w:t>
            </w:r>
          </w:p>
        </w:tc>
      </w:tr>
      <w:tr w:rsidR="00171114" w14:paraId="45C7058B" w14:textId="77777777">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FFF8DB"/>
            <w:tcMar>
              <w:top w:w="100" w:type="dxa"/>
              <w:left w:w="105" w:type="dxa"/>
              <w:bottom w:w="100" w:type="dxa"/>
              <w:right w:w="105" w:type="dxa"/>
            </w:tcMar>
            <w:vAlign w:val="center"/>
          </w:tcPr>
          <w:p w14:paraId="27B195F7" w14:textId="77777777" w:rsidR="00171114" w:rsidRDefault="00000000">
            <w:pPr>
              <w:spacing w:after="0" w:line="252" w:lineRule="auto"/>
              <w:jc w:val="center"/>
              <w:rPr>
                <w:rFonts w:hint="eastAsia"/>
              </w:rPr>
            </w:pPr>
            <w:r>
              <w:rPr>
                <w:sz w:val="16"/>
              </w:rPr>
              <w:t>Setting history</w:t>
            </w:r>
          </w:p>
        </w:tc>
        <w:tc>
          <w:tcPr>
            <w:tcW w:w="3528" w:type="dxa"/>
            <w:tcBorders>
              <w:top w:val="single" w:sz="6" w:space="0" w:color="D9D9D9"/>
              <w:left w:val="single" w:sz="6" w:space="0" w:color="D9D9D9"/>
              <w:bottom w:val="single" w:sz="6" w:space="0" w:color="D9D9D9"/>
              <w:right w:val="single" w:sz="6" w:space="0" w:color="D9D9D9"/>
            </w:tcBorders>
            <w:shd w:val="clear" w:color="auto" w:fill="FFF8DB"/>
            <w:tcMar>
              <w:top w:w="100" w:type="dxa"/>
              <w:left w:w="105" w:type="dxa"/>
              <w:bottom w:w="100" w:type="dxa"/>
              <w:right w:w="105" w:type="dxa"/>
            </w:tcMar>
            <w:vAlign w:val="center"/>
          </w:tcPr>
          <w:p w14:paraId="62D2E89D" w14:textId="77777777" w:rsidR="00171114" w:rsidRDefault="00000000">
            <w:pPr>
              <w:spacing w:after="0" w:line="252" w:lineRule="auto"/>
              <w:rPr>
                <w:rFonts w:hint="eastAsia"/>
              </w:rPr>
            </w:pPr>
            <w:r>
              <w:rPr>
                <w:sz w:val="16"/>
              </w:rPr>
              <w:t>Record changes to target and current values</w:t>
            </w:r>
          </w:p>
        </w:tc>
        <w:tc>
          <w:tcPr>
            <w:tcW w:w="3888" w:type="dxa"/>
            <w:tcBorders>
              <w:top w:val="single" w:sz="6" w:space="0" w:color="D9D9D9"/>
              <w:left w:val="single" w:sz="6" w:space="0" w:color="D9D9D9"/>
              <w:bottom w:val="single" w:sz="6" w:space="0" w:color="D9D9D9"/>
              <w:right w:val="single" w:sz="6" w:space="0" w:color="D9D9D9"/>
            </w:tcBorders>
            <w:shd w:val="clear" w:color="auto" w:fill="FFF8DB"/>
            <w:tcMar>
              <w:top w:w="100" w:type="dxa"/>
              <w:left w:w="105" w:type="dxa"/>
              <w:bottom w:w="100" w:type="dxa"/>
              <w:right w:w="105" w:type="dxa"/>
            </w:tcMar>
            <w:vAlign w:val="center"/>
          </w:tcPr>
          <w:p w14:paraId="5032BE9A" w14:textId="77777777" w:rsidR="00171114" w:rsidRDefault="00000000">
            <w:pPr>
              <w:spacing w:after="0" w:line="252" w:lineRule="auto"/>
              <w:rPr>
                <w:rFonts w:hint="eastAsia"/>
              </w:rPr>
            </w:pPr>
            <w:r>
              <w:rPr>
                <w:sz w:val="16"/>
              </w:rPr>
              <w:t>Supports sample selection and period-based testing</w:t>
            </w:r>
          </w:p>
        </w:tc>
      </w:tr>
      <w:tr w:rsidR="00171114" w14:paraId="7C6456FC" w14:textId="77777777">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FFFFFF"/>
            <w:tcMar>
              <w:top w:w="100" w:type="dxa"/>
              <w:left w:w="105" w:type="dxa"/>
              <w:bottom w:w="100" w:type="dxa"/>
              <w:right w:w="105" w:type="dxa"/>
            </w:tcMar>
            <w:vAlign w:val="center"/>
          </w:tcPr>
          <w:p w14:paraId="7F2C790A" w14:textId="77777777" w:rsidR="00171114" w:rsidRDefault="00000000">
            <w:pPr>
              <w:spacing w:after="0" w:line="252" w:lineRule="auto"/>
              <w:jc w:val="center"/>
              <w:rPr>
                <w:rFonts w:hint="eastAsia"/>
              </w:rPr>
            </w:pPr>
            <w:r>
              <w:rPr>
                <w:sz w:val="16"/>
              </w:rPr>
              <w:t>Agent and connection status</w:t>
            </w:r>
          </w:p>
        </w:tc>
        <w:tc>
          <w:tcPr>
            <w:tcW w:w="3528" w:type="dxa"/>
            <w:tcBorders>
              <w:top w:val="single" w:sz="6" w:space="0" w:color="D9D9D9"/>
              <w:left w:val="single" w:sz="6" w:space="0" w:color="D9D9D9"/>
              <w:bottom w:val="single" w:sz="6" w:space="0" w:color="D9D9D9"/>
              <w:right w:val="single" w:sz="6" w:space="0" w:color="D9D9D9"/>
            </w:tcBorders>
            <w:shd w:val="clear" w:color="auto" w:fill="FFFFFF"/>
            <w:tcMar>
              <w:top w:w="100" w:type="dxa"/>
              <w:left w:w="105" w:type="dxa"/>
              <w:bottom w:w="100" w:type="dxa"/>
              <w:right w:w="105" w:type="dxa"/>
            </w:tcMar>
            <w:vAlign w:val="center"/>
          </w:tcPr>
          <w:p w14:paraId="682C62C6" w14:textId="77777777" w:rsidR="00171114" w:rsidRDefault="00000000">
            <w:pPr>
              <w:spacing w:after="0" w:line="252" w:lineRule="auto"/>
              <w:rPr>
                <w:rFonts w:hint="eastAsia"/>
              </w:rPr>
            </w:pPr>
            <w:r>
              <w:rPr>
                <w:sz w:val="16"/>
              </w:rPr>
              <w:t>Identify endpoints that are not actively reporting</w:t>
            </w:r>
          </w:p>
        </w:tc>
        <w:tc>
          <w:tcPr>
            <w:tcW w:w="3888" w:type="dxa"/>
            <w:tcBorders>
              <w:top w:val="single" w:sz="6" w:space="0" w:color="D9D9D9"/>
              <w:left w:val="single" w:sz="6" w:space="0" w:color="D9D9D9"/>
              <w:bottom w:val="single" w:sz="6" w:space="0" w:color="D9D9D9"/>
              <w:right w:val="single" w:sz="6" w:space="0" w:color="D9D9D9"/>
            </w:tcBorders>
            <w:shd w:val="clear" w:color="auto" w:fill="FFFFFF"/>
            <w:tcMar>
              <w:top w:w="100" w:type="dxa"/>
              <w:left w:w="105" w:type="dxa"/>
              <w:bottom w:w="100" w:type="dxa"/>
              <w:right w:w="105" w:type="dxa"/>
            </w:tcMar>
            <w:vAlign w:val="center"/>
          </w:tcPr>
          <w:p w14:paraId="09D646BC" w14:textId="77777777" w:rsidR="00171114" w:rsidRDefault="00000000">
            <w:pPr>
              <w:spacing w:after="0" w:line="252" w:lineRule="auto"/>
              <w:rPr>
                <w:rFonts w:hint="eastAsia"/>
              </w:rPr>
            </w:pPr>
            <w:r>
              <w:rPr>
                <w:sz w:val="16"/>
              </w:rPr>
              <w:t>Supports completeness and coverage testing</w:t>
            </w:r>
          </w:p>
        </w:tc>
      </w:tr>
      <w:tr w:rsidR="00171114" w14:paraId="52D05B9F" w14:textId="77777777">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FFF8DB"/>
            <w:tcMar>
              <w:top w:w="100" w:type="dxa"/>
              <w:left w:w="105" w:type="dxa"/>
              <w:bottom w:w="100" w:type="dxa"/>
              <w:right w:w="105" w:type="dxa"/>
            </w:tcMar>
            <w:vAlign w:val="center"/>
          </w:tcPr>
          <w:p w14:paraId="306A06B2" w14:textId="77777777" w:rsidR="00171114" w:rsidRDefault="00000000">
            <w:pPr>
              <w:spacing w:after="0" w:line="252" w:lineRule="auto"/>
              <w:jc w:val="center"/>
              <w:rPr>
                <w:rFonts w:hint="eastAsia"/>
              </w:rPr>
            </w:pPr>
            <w:r>
              <w:rPr>
                <w:sz w:val="16"/>
              </w:rPr>
              <w:t>Endpoint PDF reports</w:t>
            </w:r>
          </w:p>
        </w:tc>
        <w:tc>
          <w:tcPr>
            <w:tcW w:w="3528" w:type="dxa"/>
            <w:tcBorders>
              <w:top w:val="single" w:sz="6" w:space="0" w:color="D9D9D9"/>
              <w:left w:val="single" w:sz="6" w:space="0" w:color="D9D9D9"/>
              <w:bottom w:val="single" w:sz="6" w:space="0" w:color="D9D9D9"/>
              <w:right w:val="single" w:sz="6" w:space="0" w:color="D9D9D9"/>
            </w:tcBorders>
            <w:shd w:val="clear" w:color="auto" w:fill="FFF8DB"/>
            <w:tcMar>
              <w:top w:w="100" w:type="dxa"/>
              <w:left w:w="105" w:type="dxa"/>
              <w:bottom w:w="100" w:type="dxa"/>
              <w:right w:w="105" w:type="dxa"/>
            </w:tcMar>
            <w:vAlign w:val="center"/>
          </w:tcPr>
          <w:p w14:paraId="6E8FABF5" w14:textId="77777777" w:rsidR="00171114" w:rsidRDefault="00000000">
            <w:pPr>
              <w:spacing w:after="0" w:line="252" w:lineRule="auto"/>
              <w:rPr>
                <w:rFonts w:hint="eastAsia"/>
              </w:rPr>
            </w:pPr>
            <w:r>
              <w:rPr>
                <w:sz w:val="16"/>
              </w:rPr>
              <w:t>Summarize endpoint identity, health, compliance, and setting status</w:t>
            </w:r>
          </w:p>
        </w:tc>
        <w:tc>
          <w:tcPr>
            <w:tcW w:w="3888" w:type="dxa"/>
            <w:tcBorders>
              <w:top w:val="single" w:sz="6" w:space="0" w:color="D9D9D9"/>
              <w:left w:val="single" w:sz="6" w:space="0" w:color="D9D9D9"/>
              <w:bottom w:val="single" w:sz="6" w:space="0" w:color="D9D9D9"/>
              <w:right w:val="single" w:sz="6" w:space="0" w:color="D9D9D9"/>
            </w:tcBorders>
            <w:shd w:val="clear" w:color="auto" w:fill="FFF8DB"/>
            <w:tcMar>
              <w:top w:w="100" w:type="dxa"/>
              <w:left w:w="105" w:type="dxa"/>
              <w:bottom w:w="100" w:type="dxa"/>
              <w:right w:w="105" w:type="dxa"/>
            </w:tcMar>
            <w:vAlign w:val="center"/>
          </w:tcPr>
          <w:p w14:paraId="18C4D948" w14:textId="77777777" w:rsidR="00171114" w:rsidRDefault="00000000">
            <w:pPr>
              <w:spacing w:after="0" w:line="252" w:lineRule="auto"/>
              <w:rPr>
                <w:rFonts w:hint="eastAsia"/>
              </w:rPr>
            </w:pPr>
            <w:r>
              <w:rPr>
                <w:sz w:val="16"/>
              </w:rPr>
              <w:t>Creates shareable evidence for auditors and management</w:t>
            </w:r>
          </w:p>
        </w:tc>
      </w:tr>
      <w:tr w:rsidR="00171114" w14:paraId="7E4BE73B" w14:textId="77777777">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FFFFFF"/>
            <w:tcMar>
              <w:top w:w="100" w:type="dxa"/>
              <w:left w:w="105" w:type="dxa"/>
              <w:bottom w:w="100" w:type="dxa"/>
              <w:right w:w="105" w:type="dxa"/>
            </w:tcMar>
            <w:vAlign w:val="center"/>
          </w:tcPr>
          <w:p w14:paraId="1E57D302" w14:textId="77777777" w:rsidR="00171114" w:rsidRDefault="00000000">
            <w:pPr>
              <w:spacing w:after="0" w:line="252" w:lineRule="auto"/>
              <w:jc w:val="center"/>
              <w:rPr>
                <w:rFonts w:hint="eastAsia"/>
              </w:rPr>
            </w:pPr>
            <w:r>
              <w:rPr>
                <w:sz w:val="16"/>
              </w:rPr>
              <w:t>Decision annotations</w:t>
            </w:r>
          </w:p>
        </w:tc>
        <w:tc>
          <w:tcPr>
            <w:tcW w:w="3528" w:type="dxa"/>
            <w:tcBorders>
              <w:top w:val="single" w:sz="6" w:space="0" w:color="D9D9D9"/>
              <w:left w:val="single" w:sz="6" w:space="0" w:color="D9D9D9"/>
              <w:bottom w:val="single" w:sz="6" w:space="0" w:color="D9D9D9"/>
              <w:right w:val="single" w:sz="6" w:space="0" w:color="D9D9D9"/>
            </w:tcBorders>
            <w:shd w:val="clear" w:color="auto" w:fill="FFFFFF"/>
            <w:tcMar>
              <w:top w:w="100" w:type="dxa"/>
              <w:left w:w="105" w:type="dxa"/>
              <w:bottom w:w="100" w:type="dxa"/>
              <w:right w:w="105" w:type="dxa"/>
            </w:tcMar>
            <w:vAlign w:val="center"/>
          </w:tcPr>
          <w:p w14:paraId="2A46AAF3" w14:textId="77777777" w:rsidR="00171114" w:rsidRDefault="00000000">
            <w:pPr>
              <w:spacing w:after="0" w:line="252" w:lineRule="auto"/>
              <w:rPr>
                <w:rFonts w:hint="eastAsia"/>
              </w:rPr>
            </w:pPr>
            <w:r>
              <w:rPr>
                <w:sz w:val="16"/>
              </w:rPr>
              <w:t>Document unmanaged or noncompliant baseline decisions</w:t>
            </w:r>
          </w:p>
        </w:tc>
        <w:tc>
          <w:tcPr>
            <w:tcW w:w="3888" w:type="dxa"/>
            <w:tcBorders>
              <w:top w:val="single" w:sz="6" w:space="0" w:color="D9D9D9"/>
              <w:left w:val="single" w:sz="6" w:space="0" w:color="D9D9D9"/>
              <w:bottom w:val="single" w:sz="6" w:space="0" w:color="D9D9D9"/>
              <w:right w:val="single" w:sz="6" w:space="0" w:color="D9D9D9"/>
            </w:tcBorders>
            <w:shd w:val="clear" w:color="auto" w:fill="FFFFFF"/>
            <w:tcMar>
              <w:top w:w="100" w:type="dxa"/>
              <w:left w:w="105" w:type="dxa"/>
              <w:bottom w:w="100" w:type="dxa"/>
              <w:right w:w="105" w:type="dxa"/>
            </w:tcMar>
            <w:vAlign w:val="center"/>
          </w:tcPr>
          <w:p w14:paraId="74190118" w14:textId="77777777" w:rsidR="00171114" w:rsidRDefault="00000000">
            <w:pPr>
              <w:spacing w:after="0" w:line="252" w:lineRule="auto"/>
              <w:rPr>
                <w:rFonts w:hint="eastAsia"/>
              </w:rPr>
            </w:pPr>
            <w:r>
              <w:rPr>
                <w:sz w:val="16"/>
              </w:rPr>
              <w:t>Strengthens rationale and reviewability of exceptions</w:t>
            </w:r>
          </w:p>
        </w:tc>
      </w:tr>
    </w:tbl>
    <w:p w14:paraId="40F2C9D4" w14:textId="77777777" w:rsidR="00171114" w:rsidRDefault="00171114">
      <w:pPr>
        <w:spacing w:after="20"/>
        <w:rPr>
          <w:rFonts w:hint="eastAsia"/>
        </w:rPr>
      </w:pPr>
    </w:p>
    <w:p w14:paraId="3D35AC8C" w14:textId="67745175" w:rsidR="00171114" w:rsidRDefault="00000000">
      <w:pPr>
        <w:rPr>
          <w:rFonts w:hint="eastAsia"/>
        </w:rPr>
      </w:pPr>
      <w:r>
        <w:t>Senteon</w:t>
      </w:r>
      <w:r w:rsidR="00263FB4">
        <w:t xml:space="preserve"> has built a </w:t>
      </w:r>
      <w:r>
        <w:t>list</w:t>
      </w:r>
      <w:r w:rsidR="00263FB4">
        <w:t xml:space="preserve"> of</w:t>
      </w:r>
      <w:r>
        <w:t xml:space="preserve"> 31 hardening categories, including antimalware, audit policy, device policy, installation and patching, local accounts, password and account lockout, remote access, SMB, LDAP, Kerberos, network security, Microsoft Defender Antivirus, Windows Defender Firewall, user rights, Windows Update, and system services. [2] These categories do not automatically become separate SOC 2 controls. They are technical settings that can be organized beneath a smaller set of well-designed organizational controls.</w:t>
      </w:r>
    </w:p>
    <w:p w14:paraId="4F294B3A" w14:textId="77777777" w:rsidR="00171114" w:rsidRDefault="00000000">
      <w:pPr>
        <w:pStyle w:val="Heading1"/>
        <w:pageBreakBefore/>
      </w:pPr>
      <w:r>
        <w:rPr>
          <w:rFonts w:ascii="DejaVu Sans" w:hAnsi="DejaVu Sans"/>
          <w:color w:val="FAAB17"/>
        </w:rPr>
        <w:lastRenderedPageBreak/>
        <w:t xml:space="preserve">4  </w:t>
      </w:r>
      <w:r>
        <w:rPr>
          <w:rFonts w:ascii="DejaVu Sans" w:hAnsi="DejaVu Sans"/>
        </w:rPr>
        <w:t>SOC 2 Control Mapping</w:t>
      </w:r>
    </w:p>
    <w:p w14:paraId="7E37DE23" w14:textId="77777777" w:rsidR="00171114" w:rsidRDefault="00000000">
      <w:pPr>
        <w:rPr>
          <w:rFonts w:hint="eastAsia"/>
        </w:rPr>
      </w:pPr>
      <w:r>
        <w:t>The AICPA Trust Services Criteria are outcome-oriented and do not prescribe a specific product. The mapping below therefore describes where Senteon can provide control operation or evidence. Final applicability depends on the service organization's system boundaries, risks, control language, and auditor judgment. [1]</w:t>
      </w:r>
    </w:p>
    <w:tbl>
      <w:tblPr>
        <w:tblW w:w="0" w:type="auto"/>
        <w:jc w:val="center"/>
        <w:tblLayout w:type="fixed"/>
        <w:tblLook w:val="04A0" w:firstRow="1" w:lastRow="0" w:firstColumn="1" w:lastColumn="0" w:noHBand="0" w:noVBand="1"/>
      </w:tblPr>
      <w:tblGrid>
        <w:gridCol w:w="792"/>
        <w:gridCol w:w="3960"/>
        <w:gridCol w:w="3744"/>
        <w:gridCol w:w="1152"/>
      </w:tblGrid>
      <w:tr w:rsidR="00171114" w14:paraId="70818E73" w14:textId="77777777">
        <w:trPr>
          <w:tblHeader/>
          <w:jc w:val="center"/>
        </w:trPr>
        <w:tc>
          <w:tcPr>
            <w:tcW w:w="792" w:type="dxa"/>
            <w:tcBorders>
              <w:top w:val="single" w:sz="6" w:space="0" w:color="D9D9D9"/>
              <w:left w:val="single" w:sz="6" w:space="0" w:color="D9D9D9"/>
              <w:bottom w:val="single" w:sz="6" w:space="0" w:color="D9D9D9"/>
              <w:right w:val="single" w:sz="6" w:space="0" w:color="D9D9D9"/>
            </w:tcBorders>
            <w:shd w:val="clear" w:color="auto" w:fill="171717"/>
            <w:tcMar>
              <w:top w:w="115" w:type="dxa"/>
              <w:left w:w="110" w:type="dxa"/>
              <w:bottom w:w="115" w:type="dxa"/>
              <w:right w:w="110" w:type="dxa"/>
            </w:tcMar>
            <w:vAlign w:val="center"/>
          </w:tcPr>
          <w:p w14:paraId="4051DE66" w14:textId="77777777" w:rsidR="00171114" w:rsidRDefault="00000000">
            <w:pPr>
              <w:spacing w:after="0"/>
              <w:jc w:val="center"/>
              <w:rPr>
                <w:rFonts w:hint="eastAsia"/>
              </w:rPr>
            </w:pPr>
            <w:r>
              <w:rPr>
                <w:b/>
                <w:color w:val="FFFFFF"/>
                <w:sz w:val="15"/>
              </w:rPr>
              <w:t>TSC</w:t>
            </w:r>
          </w:p>
        </w:tc>
        <w:tc>
          <w:tcPr>
            <w:tcW w:w="3960" w:type="dxa"/>
            <w:tcBorders>
              <w:top w:val="single" w:sz="6" w:space="0" w:color="D9D9D9"/>
              <w:left w:val="single" w:sz="6" w:space="0" w:color="D9D9D9"/>
              <w:bottom w:val="single" w:sz="6" w:space="0" w:color="D9D9D9"/>
              <w:right w:val="single" w:sz="6" w:space="0" w:color="D9D9D9"/>
            </w:tcBorders>
            <w:shd w:val="clear" w:color="auto" w:fill="171717"/>
            <w:tcMar>
              <w:top w:w="115" w:type="dxa"/>
              <w:left w:w="110" w:type="dxa"/>
              <w:bottom w:w="115" w:type="dxa"/>
              <w:right w:w="110" w:type="dxa"/>
            </w:tcMar>
            <w:vAlign w:val="center"/>
          </w:tcPr>
          <w:p w14:paraId="1FCDC84C" w14:textId="77777777" w:rsidR="00171114" w:rsidRDefault="00000000">
            <w:pPr>
              <w:spacing w:after="0"/>
              <w:rPr>
                <w:rFonts w:hint="eastAsia"/>
              </w:rPr>
            </w:pPr>
            <w:r>
              <w:rPr>
                <w:b/>
                <w:color w:val="FFFFFF"/>
                <w:sz w:val="15"/>
              </w:rPr>
              <w:t>Senteon contribution</w:t>
            </w:r>
          </w:p>
        </w:tc>
        <w:tc>
          <w:tcPr>
            <w:tcW w:w="3744" w:type="dxa"/>
            <w:tcBorders>
              <w:top w:val="single" w:sz="6" w:space="0" w:color="D9D9D9"/>
              <w:left w:val="single" w:sz="6" w:space="0" w:color="D9D9D9"/>
              <w:bottom w:val="single" w:sz="6" w:space="0" w:color="D9D9D9"/>
              <w:right w:val="single" w:sz="6" w:space="0" w:color="D9D9D9"/>
            </w:tcBorders>
            <w:shd w:val="clear" w:color="auto" w:fill="171717"/>
            <w:tcMar>
              <w:top w:w="115" w:type="dxa"/>
              <w:left w:w="110" w:type="dxa"/>
              <w:bottom w:w="115" w:type="dxa"/>
              <w:right w:w="110" w:type="dxa"/>
            </w:tcMar>
            <w:vAlign w:val="center"/>
          </w:tcPr>
          <w:p w14:paraId="3489CBE6" w14:textId="77777777" w:rsidR="00171114" w:rsidRDefault="00000000">
            <w:pPr>
              <w:spacing w:after="0"/>
              <w:rPr>
                <w:rFonts w:hint="eastAsia"/>
              </w:rPr>
            </w:pPr>
            <w:r>
              <w:rPr>
                <w:b/>
                <w:color w:val="FFFFFF"/>
                <w:sz w:val="15"/>
              </w:rPr>
              <w:t>Role in the control</w:t>
            </w:r>
          </w:p>
        </w:tc>
        <w:tc>
          <w:tcPr>
            <w:tcW w:w="1152" w:type="dxa"/>
            <w:tcBorders>
              <w:top w:val="single" w:sz="6" w:space="0" w:color="D9D9D9"/>
              <w:left w:val="single" w:sz="6" w:space="0" w:color="D9D9D9"/>
              <w:bottom w:val="single" w:sz="6" w:space="0" w:color="D9D9D9"/>
              <w:right w:val="single" w:sz="6" w:space="0" w:color="D9D9D9"/>
            </w:tcBorders>
            <w:shd w:val="clear" w:color="auto" w:fill="171717"/>
            <w:tcMar>
              <w:top w:w="115" w:type="dxa"/>
              <w:left w:w="110" w:type="dxa"/>
              <w:bottom w:w="115" w:type="dxa"/>
              <w:right w:w="110" w:type="dxa"/>
            </w:tcMar>
            <w:vAlign w:val="center"/>
          </w:tcPr>
          <w:p w14:paraId="25600A8D" w14:textId="77777777" w:rsidR="00171114" w:rsidRDefault="00000000">
            <w:pPr>
              <w:spacing w:after="0"/>
              <w:rPr>
                <w:rFonts w:hint="eastAsia"/>
              </w:rPr>
            </w:pPr>
            <w:r>
              <w:rPr>
                <w:b/>
                <w:color w:val="FFFFFF"/>
                <w:sz w:val="15"/>
              </w:rPr>
              <w:t>Mapping strength</w:t>
            </w:r>
          </w:p>
        </w:tc>
      </w:tr>
      <w:tr w:rsidR="00171114" w14:paraId="62F97656" w14:textId="77777777">
        <w:trPr>
          <w:jc w:val="center"/>
        </w:trPr>
        <w:tc>
          <w:tcPr>
            <w:tcW w:w="792" w:type="dxa"/>
            <w:tcBorders>
              <w:top w:val="single" w:sz="6" w:space="0" w:color="D9D9D9"/>
              <w:left w:val="single" w:sz="6" w:space="0" w:color="D9D9D9"/>
              <w:bottom w:val="single" w:sz="6" w:space="0" w:color="D9D9D9"/>
              <w:right w:val="single" w:sz="6" w:space="0" w:color="D9D9D9"/>
            </w:tcBorders>
            <w:shd w:val="clear" w:color="auto" w:fill="FFFFFF"/>
            <w:tcMar>
              <w:top w:w="100" w:type="dxa"/>
              <w:left w:w="105" w:type="dxa"/>
              <w:bottom w:w="100" w:type="dxa"/>
              <w:right w:w="105" w:type="dxa"/>
            </w:tcMar>
            <w:vAlign w:val="center"/>
          </w:tcPr>
          <w:p w14:paraId="3542B9B4" w14:textId="77777777" w:rsidR="00171114" w:rsidRDefault="00000000">
            <w:pPr>
              <w:spacing w:after="0" w:line="252" w:lineRule="auto"/>
              <w:jc w:val="center"/>
              <w:rPr>
                <w:rFonts w:hint="eastAsia"/>
              </w:rPr>
            </w:pPr>
            <w:r>
              <w:rPr>
                <w:sz w:val="15"/>
              </w:rPr>
              <w:t>CC7.1</w:t>
            </w:r>
          </w:p>
        </w:tc>
        <w:tc>
          <w:tcPr>
            <w:tcW w:w="3960" w:type="dxa"/>
            <w:tcBorders>
              <w:top w:val="single" w:sz="6" w:space="0" w:color="D9D9D9"/>
              <w:left w:val="single" w:sz="6" w:space="0" w:color="D9D9D9"/>
              <w:bottom w:val="single" w:sz="6" w:space="0" w:color="D9D9D9"/>
              <w:right w:val="single" w:sz="6" w:space="0" w:color="D9D9D9"/>
            </w:tcBorders>
            <w:shd w:val="clear" w:color="auto" w:fill="FFFFFF"/>
            <w:tcMar>
              <w:top w:w="100" w:type="dxa"/>
              <w:left w:w="105" w:type="dxa"/>
              <w:bottom w:w="100" w:type="dxa"/>
              <w:right w:w="105" w:type="dxa"/>
            </w:tcMar>
            <w:vAlign w:val="center"/>
          </w:tcPr>
          <w:p w14:paraId="5BDB05D5" w14:textId="77777777" w:rsidR="00171114" w:rsidRDefault="00000000">
            <w:pPr>
              <w:spacing w:after="0" w:line="252" w:lineRule="auto"/>
              <w:rPr>
                <w:rFonts w:hint="eastAsia"/>
              </w:rPr>
            </w:pPr>
            <w:r>
              <w:rPr>
                <w:sz w:val="15"/>
              </w:rPr>
              <w:t>Secure baselines, continuous configuration monitoring, drift detection, realignment, setting history</w:t>
            </w:r>
          </w:p>
        </w:tc>
        <w:tc>
          <w:tcPr>
            <w:tcW w:w="3744" w:type="dxa"/>
            <w:tcBorders>
              <w:top w:val="single" w:sz="6" w:space="0" w:color="D9D9D9"/>
              <w:left w:val="single" w:sz="6" w:space="0" w:color="D9D9D9"/>
              <w:bottom w:val="single" w:sz="6" w:space="0" w:color="D9D9D9"/>
              <w:right w:val="single" w:sz="6" w:space="0" w:color="D9D9D9"/>
            </w:tcBorders>
            <w:shd w:val="clear" w:color="auto" w:fill="FFFFFF"/>
            <w:tcMar>
              <w:top w:w="100" w:type="dxa"/>
              <w:left w:w="105" w:type="dxa"/>
              <w:bottom w:w="100" w:type="dxa"/>
              <w:right w:w="105" w:type="dxa"/>
            </w:tcMar>
            <w:vAlign w:val="center"/>
          </w:tcPr>
          <w:p w14:paraId="7C7B953E" w14:textId="77777777" w:rsidR="00171114" w:rsidRDefault="00000000">
            <w:pPr>
              <w:spacing w:after="0" w:line="252" w:lineRule="auto"/>
              <w:rPr>
                <w:rFonts w:hint="eastAsia"/>
              </w:rPr>
            </w:pPr>
            <w:r>
              <w:rPr>
                <w:sz w:val="15"/>
              </w:rPr>
              <w:t>Core technology for endpoint vulnerability and configuration monitoring</w:t>
            </w:r>
          </w:p>
        </w:tc>
        <w:tc>
          <w:tcPr>
            <w:tcW w:w="1152" w:type="dxa"/>
            <w:tcBorders>
              <w:top w:val="single" w:sz="6" w:space="0" w:color="D9D9D9"/>
              <w:left w:val="single" w:sz="6" w:space="0" w:color="D9D9D9"/>
              <w:bottom w:val="single" w:sz="6" w:space="0" w:color="D9D9D9"/>
              <w:right w:val="single" w:sz="6" w:space="0" w:color="D9D9D9"/>
            </w:tcBorders>
            <w:shd w:val="clear" w:color="auto" w:fill="FFFFFF"/>
            <w:tcMar>
              <w:top w:w="100" w:type="dxa"/>
              <w:left w:w="105" w:type="dxa"/>
              <w:bottom w:w="100" w:type="dxa"/>
              <w:right w:w="105" w:type="dxa"/>
            </w:tcMar>
            <w:vAlign w:val="center"/>
          </w:tcPr>
          <w:p w14:paraId="2C1955B3" w14:textId="77777777" w:rsidR="00171114" w:rsidRDefault="00000000">
            <w:pPr>
              <w:spacing w:after="0" w:line="252" w:lineRule="auto"/>
              <w:rPr>
                <w:rFonts w:hint="eastAsia"/>
              </w:rPr>
            </w:pPr>
            <w:r>
              <w:rPr>
                <w:sz w:val="15"/>
              </w:rPr>
              <w:t>Primary</w:t>
            </w:r>
          </w:p>
        </w:tc>
      </w:tr>
      <w:tr w:rsidR="00171114" w14:paraId="400942E8" w14:textId="77777777">
        <w:trPr>
          <w:jc w:val="center"/>
        </w:trPr>
        <w:tc>
          <w:tcPr>
            <w:tcW w:w="792" w:type="dxa"/>
            <w:tcBorders>
              <w:top w:val="single" w:sz="6" w:space="0" w:color="D9D9D9"/>
              <w:left w:val="single" w:sz="6" w:space="0" w:color="D9D9D9"/>
              <w:bottom w:val="single" w:sz="6" w:space="0" w:color="D9D9D9"/>
              <w:right w:val="single" w:sz="6" w:space="0" w:color="D9D9D9"/>
            </w:tcBorders>
            <w:shd w:val="clear" w:color="auto" w:fill="FFF8DB"/>
            <w:tcMar>
              <w:top w:w="100" w:type="dxa"/>
              <w:left w:w="105" w:type="dxa"/>
              <w:bottom w:w="100" w:type="dxa"/>
              <w:right w:w="105" w:type="dxa"/>
            </w:tcMar>
            <w:vAlign w:val="center"/>
          </w:tcPr>
          <w:p w14:paraId="173DB7EE" w14:textId="77777777" w:rsidR="00171114" w:rsidRDefault="00000000">
            <w:pPr>
              <w:spacing w:after="0" w:line="252" w:lineRule="auto"/>
              <w:jc w:val="center"/>
              <w:rPr>
                <w:rFonts w:hint="eastAsia"/>
              </w:rPr>
            </w:pPr>
            <w:r>
              <w:rPr>
                <w:sz w:val="15"/>
              </w:rPr>
              <w:t>CC6.1</w:t>
            </w:r>
          </w:p>
        </w:tc>
        <w:tc>
          <w:tcPr>
            <w:tcW w:w="3960" w:type="dxa"/>
            <w:tcBorders>
              <w:top w:val="single" w:sz="6" w:space="0" w:color="D9D9D9"/>
              <w:left w:val="single" w:sz="6" w:space="0" w:color="D9D9D9"/>
              <w:bottom w:val="single" w:sz="6" w:space="0" w:color="D9D9D9"/>
              <w:right w:val="single" w:sz="6" w:space="0" w:color="D9D9D9"/>
            </w:tcBorders>
            <w:shd w:val="clear" w:color="auto" w:fill="FFF8DB"/>
            <w:tcMar>
              <w:top w:w="100" w:type="dxa"/>
              <w:left w:w="105" w:type="dxa"/>
              <w:bottom w:w="100" w:type="dxa"/>
              <w:right w:w="105" w:type="dxa"/>
            </w:tcMar>
            <w:vAlign w:val="center"/>
          </w:tcPr>
          <w:p w14:paraId="35C5F483" w14:textId="77777777" w:rsidR="00171114" w:rsidRDefault="00000000">
            <w:pPr>
              <w:spacing w:after="0" w:line="252" w:lineRule="auto"/>
              <w:rPr>
                <w:rFonts w:hint="eastAsia"/>
              </w:rPr>
            </w:pPr>
            <w:r>
              <w:rPr>
                <w:sz w:val="15"/>
              </w:rPr>
              <w:t>Password, lockout, local account, UAC, user rights, session, and secure protocol settings</w:t>
            </w:r>
          </w:p>
        </w:tc>
        <w:tc>
          <w:tcPr>
            <w:tcW w:w="3744" w:type="dxa"/>
            <w:tcBorders>
              <w:top w:val="single" w:sz="6" w:space="0" w:color="D9D9D9"/>
              <w:left w:val="single" w:sz="6" w:space="0" w:color="D9D9D9"/>
              <w:bottom w:val="single" w:sz="6" w:space="0" w:color="D9D9D9"/>
              <w:right w:val="single" w:sz="6" w:space="0" w:color="D9D9D9"/>
            </w:tcBorders>
            <w:shd w:val="clear" w:color="auto" w:fill="FFF8DB"/>
            <w:tcMar>
              <w:top w:w="100" w:type="dxa"/>
              <w:left w:w="105" w:type="dxa"/>
              <w:bottom w:w="100" w:type="dxa"/>
              <w:right w:w="105" w:type="dxa"/>
            </w:tcMar>
            <w:vAlign w:val="center"/>
          </w:tcPr>
          <w:p w14:paraId="06421145" w14:textId="77777777" w:rsidR="00171114" w:rsidRDefault="00000000">
            <w:pPr>
              <w:spacing w:after="0" w:line="252" w:lineRule="auto"/>
              <w:rPr>
                <w:rFonts w:hint="eastAsia"/>
              </w:rPr>
            </w:pPr>
            <w:r>
              <w:rPr>
                <w:sz w:val="15"/>
              </w:rPr>
              <w:t>Endpoint enforcement layer within the logical access architecture</w:t>
            </w:r>
          </w:p>
        </w:tc>
        <w:tc>
          <w:tcPr>
            <w:tcW w:w="1152" w:type="dxa"/>
            <w:tcBorders>
              <w:top w:val="single" w:sz="6" w:space="0" w:color="D9D9D9"/>
              <w:left w:val="single" w:sz="6" w:space="0" w:color="D9D9D9"/>
              <w:bottom w:val="single" w:sz="6" w:space="0" w:color="D9D9D9"/>
              <w:right w:val="single" w:sz="6" w:space="0" w:color="D9D9D9"/>
            </w:tcBorders>
            <w:shd w:val="clear" w:color="auto" w:fill="FFF8DB"/>
            <w:tcMar>
              <w:top w:w="100" w:type="dxa"/>
              <w:left w:w="105" w:type="dxa"/>
              <w:bottom w:w="100" w:type="dxa"/>
              <w:right w:w="105" w:type="dxa"/>
            </w:tcMar>
            <w:vAlign w:val="center"/>
          </w:tcPr>
          <w:p w14:paraId="2F9D4914" w14:textId="77777777" w:rsidR="00171114" w:rsidRDefault="00000000">
            <w:pPr>
              <w:spacing w:after="0" w:line="252" w:lineRule="auto"/>
              <w:rPr>
                <w:rFonts w:hint="eastAsia"/>
              </w:rPr>
            </w:pPr>
            <w:r>
              <w:rPr>
                <w:sz w:val="15"/>
              </w:rPr>
              <w:t>Strong supporting</w:t>
            </w:r>
          </w:p>
        </w:tc>
      </w:tr>
      <w:tr w:rsidR="00171114" w14:paraId="2F7D08F7" w14:textId="77777777">
        <w:trPr>
          <w:jc w:val="center"/>
        </w:trPr>
        <w:tc>
          <w:tcPr>
            <w:tcW w:w="792" w:type="dxa"/>
            <w:tcBorders>
              <w:top w:val="single" w:sz="6" w:space="0" w:color="D9D9D9"/>
              <w:left w:val="single" w:sz="6" w:space="0" w:color="D9D9D9"/>
              <w:bottom w:val="single" w:sz="6" w:space="0" w:color="D9D9D9"/>
              <w:right w:val="single" w:sz="6" w:space="0" w:color="D9D9D9"/>
            </w:tcBorders>
            <w:shd w:val="clear" w:color="auto" w:fill="FFFFFF"/>
            <w:tcMar>
              <w:top w:w="100" w:type="dxa"/>
              <w:left w:w="105" w:type="dxa"/>
              <w:bottom w:w="100" w:type="dxa"/>
              <w:right w:w="105" w:type="dxa"/>
            </w:tcMar>
            <w:vAlign w:val="center"/>
          </w:tcPr>
          <w:p w14:paraId="3E58926D" w14:textId="77777777" w:rsidR="00171114" w:rsidRDefault="00000000">
            <w:pPr>
              <w:spacing w:after="0" w:line="252" w:lineRule="auto"/>
              <w:jc w:val="center"/>
              <w:rPr>
                <w:rFonts w:hint="eastAsia"/>
              </w:rPr>
            </w:pPr>
            <w:r>
              <w:rPr>
                <w:sz w:val="15"/>
              </w:rPr>
              <w:t>CC6.6</w:t>
            </w:r>
          </w:p>
        </w:tc>
        <w:tc>
          <w:tcPr>
            <w:tcW w:w="3960" w:type="dxa"/>
            <w:tcBorders>
              <w:top w:val="single" w:sz="6" w:space="0" w:color="D9D9D9"/>
              <w:left w:val="single" w:sz="6" w:space="0" w:color="D9D9D9"/>
              <w:bottom w:val="single" w:sz="6" w:space="0" w:color="D9D9D9"/>
              <w:right w:val="single" w:sz="6" w:space="0" w:color="D9D9D9"/>
            </w:tcBorders>
            <w:shd w:val="clear" w:color="auto" w:fill="FFFFFF"/>
            <w:tcMar>
              <w:top w:w="100" w:type="dxa"/>
              <w:left w:w="105" w:type="dxa"/>
              <w:bottom w:w="100" w:type="dxa"/>
              <w:right w:w="105" w:type="dxa"/>
            </w:tcMar>
            <w:vAlign w:val="center"/>
          </w:tcPr>
          <w:p w14:paraId="66F638C3" w14:textId="77777777" w:rsidR="00171114" w:rsidRDefault="00000000">
            <w:pPr>
              <w:spacing w:after="0" w:line="252" w:lineRule="auto"/>
              <w:rPr>
                <w:rFonts w:hint="eastAsia"/>
              </w:rPr>
            </w:pPr>
            <w:r>
              <w:rPr>
                <w:sz w:val="15"/>
              </w:rPr>
              <w:t>Host firewall, remote access, SMB, WinRM, LDAP, Kerberos, LLMNR, NetBIOS, and service hardening</w:t>
            </w:r>
          </w:p>
        </w:tc>
        <w:tc>
          <w:tcPr>
            <w:tcW w:w="3744" w:type="dxa"/>
            <w:tcBorders>
              <w:top w:val="single" w:sz="6" w:space="0" w:color="D9D9D9"/>
              <w:left w:val="single" w:sz="6" w:space="0" w:color="D9D9D9"/>
              <w:bottom w:val="single" w:sz="6" w:space="0" w:color="D9D9D9"/>
              <w:right w:val="single" w:sz="6" w:space="0" w:color="D9D9D9"/>
            </w:tcBorders>
            <w:shd w:val="clear" w:color="auto" w:fill="FFFFFF"/>
            <w:tcMar>
              <w:top w:w="100" w:type="dxa"/>
              <w:left w:w="105" w:type="dxa"/>
              <w:bottom w:w="100" w:type="dxa"/>
              <w:right w:w="105" w:type="dxa"/>
            </w:tcMar>
            <w:vAlign w:val="center"/>
          </w:tcPr>
          <w:p w14:paraId="0EEC7087" w14:textId="77777777" w:rsidR="00171114" w:rsidRDefault="00000000">
            <w:pPr>
              <w:spacing w:after="0" w:line="252" w:lineRule="auto"/>
              <w:rPr>
                <w:rFonts w:hint="eastAsia"/>
              </w:rPr>
            </w:pPr>
            <w:r>
              <w:rPr>
                <w:sz w:val="15"/>
              </w:rPr>
              <w:t>Technical enforcement of endpoint boundary protections</w:t>
            </w:r>
          </w:p>
        </w:tc>
        <w:tc>
          <w:tcPr>
            <w:tcW w:w="1152" w:type="dxa"/>
            <w:tcBorders>
              <w:top w:val="single" w:sz="6" w:space="0" w:color="D9D9D9"/>
              <w:left w:val="single" w:sz="6" w:space="0" w:color="D9D9D9"/>
              <w:bottom w:val="single" w:sz="6" w:space="0" w:color="D9D9D9"/>
              <w:right w:val="single" w:sz="6" w:space="0" w:color="D9D9D9"/>
            </w:tcBorders>
            <w:shd w:val="clear" w:color="auto" w:fill="FFFFFF"/>
            <w:tcMar>
              <w:top w:w="100" w:type="dxa"/>
              <w:left w:w="105" w:type="dxa"/>
              <w:bottom w:w="100" w:type="dxa"/>
              <w:right w:w="105" w:type="dxa"/>
            </w:tcMar>
            <w:vAlign w:val="center"/>
          </w:tcPr>
          <w:p w14:paraId="1FA59CCC" w14:textId="77777777" w:rsidR="00171114" w:rsidRDefault="00000000">
            <w:pPr>
              <w:spacing w:after="0" w:line="252" w:lineRule="auto"/>
              <w:rPr>
                <w:rFonts w:hint="eastAsia"/>
              </w:rPr>
            </w:pPr>
            <w:r>
              <w:rPr>
                <w:sz w:val="15"/>
              </w:rPr>
              <w:t>Strong supporting</w:t>
            </w:r>
          </w:p>
        </w:tc>
      </w:tr>
      <w:tr w:rsidR="00171114" w14:paraId="0A509972" w14:textId="77777777">
        <w:trPr>
          <w:jc w:val="center"/>
        </w:trPr>
        <w:tc>
          <w:tcPr>
            <w:tcW w:w="792" w:type="dxa"/>
            <w:tcBorders>
              <w:top w:val="single" w:sz="6" w:space="0" w:color="D9D9D9"/>
              <w:left w:val="single" w:sz="6" w:space="0" w:color="D9D9D9"/>
              <w:bottom w:val="single" w:sz="6" w:space="0" w:color="D9D9D9"/>
              <w:right w:val="single" w:sz="6" w:space="0" w:color="D9D9D9"/>
            </w:tcBorders>
            <w:shd w:val="clear" w:color="auto" w:fill="FFF8DB"/>
            <w:tcMar>
              <w:top w:w="100" w:type="dxa"/>
              <w:left w:w="105" w:type="dxa"/>
              <w:bottom w:w="100" w:type="dxa"/>
              <w:right w:w="105" w:type="dxa"/>
            </w:tcMar>
            <w:vAlign w:val="center"/>
          </w:tcPr>
          <w:p w14:paraId="6ACDB0D0" w14:textId="77777777" w:rsidR="00171114" w:rsidRDefault="00000000">
            <w:pPr>
              <w:spacing w:after="0" w:line="252" w:lineRule="auto"/>
              <w:jc w:val="center"/>
              <w:rPr>
                <w:rFonts w:hint="eastAsia"/>
              </w:rPr>
            </w:pPr>
            <w:r>
              <w:rPr>
                <w:sz w:val="15"/>
              </w:rPr>
              <w:t>CC6.8</w:t>
            </w:r>
          </w:p>
        </w:tc>
        <w:tc>
          <w:tcPr>
            <w:tcW w:w="3960" w:type="dxa"/>
            <w:tcBorders>
              <w:top w:val="single" w:sz="6" w:space="0" w:color="D9D9D9"/>
              <w:left w:val="single" w:sz="6" w:space="0" w:color="D9D9D9"/>
              <w:bottom w:val="single" w:sz="6" w:space="0" w:color="D9D9D9"/>
              <w:right w:val="single" w:sz="6" w:space="0" w:color="D9D9D9"/>
            </w:tcBorders>
            <w:shd w:val="clear" w:color="auto" w:fill="FFF8DB"/>
            <w:tcMar>
              <w:top w:w="100" w:type="dxa"/>
              <w:left w:w="105" w:type="dxa"/>
              <w:bottom w:w="100" w:type="dxa"/>
              <w:right w:w="105" w:type="dxa"/>
            </w:tcMar>
            <w:vAlign w:val="center"/>
          </w:tcPr>
          <w:p w14:paraId="70050788" w14:textId="77777777" w:rsidR="00171114" w:rsidRDefault="00000000">
            <w:pPr>
              <w:spacing w:after="0" w:line="252" w:lineRule="auto"/>
              <w:rPr>
                <w:rFonts w:hint="eastAsia"/>
              </w:rPr>
            </w:pPr>
            <w:r>
              <w:rPr>
                <w:sz w:val="15"/>
              </w:rPr>
              <w:t>Defender, antimalware, installation, feature, service, store, and update settings</w:t>
            </w:r>
          </w:p>
        </w:tc>
        <w:tc>
          <w:tcPr>
            <w:tcW w:w="3744" w:type="dxa"/>
            <w:tcBorders>
              <w:top w:val="single" w:sz="6" w:space="0" w:color="D9D9D9"/>
              <w:left w:val="single" w:sz="6" w:space="0" w:color="D9D9D9"/>
              <w:bottom w:val="single" w:sz="6" w:space="0" w:color="D9D9D9"/>
              <w:right w:val="single" w:sz="6" w:space="0" w:color="D9D9D9"/>
            </w:tcBorders>
            <w:shd w:val="clear" w:color="auto" w:fill="FFF8DB"/>
            <w:tcMar>
              <w:top w:w="100" w:type="dxa"/>
              <w:left w:w="105" w:type="dxa"/>
              <w:bottom w:w="100" w:type="dxa"/>
              <w:right w:w="105" w:type="dxa"/>
            </w:tcMar>
            <w:vAlign w:val="center"/>
          </w:tcPr>
          <w:p w14:paraId="0BFEE2DF" w14:textId="77777777" w:rsidR="00171114" w:rsidRDefault="00000000">
            <w:pPr>
              <w:spacing w:after="0" w:line="252" w:lineRule="auto"/>
              <w:rPr>
                <w:rFonts w:hint="eastAsia"/>
              </w:rPr>
            </w:pPr>
            <w:r>
              <w:rPr>
                <w:sz w:val="15"/>
              </w:rPr>
              <w:t>Hardens the prevention layer that complements EDR or MDR</w:t>
            </w:r>
          </w:p>
        </w:tc>
        <w:tc>
          <w:tcPr>
            <w:tcW w:w="1152" w:type="dxa"/>
            <w:tcBorders>
              <w:top w:val="single" w:sz="6" w:space="0" w:color="D9D9D9"/>
              <w:left w:val="single" w:sz="6" w:space="0" w:color="D9D9D9"/>
              <w:bottom w:val="single" w:sz="6" w:space="0" w:color="D9D9D9"/>
              <w:right w:val="single" w:sz="6" w:space="0" w:color="D9D9D9"/>
            </w:tcBorders>
            <w:shd w:val="clear" w:color="auto" w:fill="FFF8DB"/>
            <w:tcMar>
              <w:top w:w="100" w:type="dxa"/>
              <w:left w:w="105" w:type="dxa"/>
              <w:bottom w:w="100" w:type="dxa"/>
              <w:right w:w="105" w:type="dxa"/>
            </w:tcMar>
            <w:vAlign w:val="center"/>
          </w:tcPr>
          <w:p w14:paraId="4C523F3B" w14:textId="77777777" w:rsidR="00171114" w:rsidRDefault="00000000">
            <w:pPr>
              <w:spacing w:after="0" w:line="252" w:lineRule="auto"/>
              <w:rPr>
                <w:rFonts w:hint="eastAsia"/>
              </w:rPr>
            </w:pPr>
            <w:r>
              <w:rPr>
                <w:sz w:val="15"/>
              </w:rPr>
              <w:t>Strong supporting</w:t>
            </w:r>
          </w:p>
        </w:tc>
      </w:tr>
      <w:tr w:rsidR="00171114" w14:paraId="27FCAA5B" w14:textId="77777777">
        <w:trPr>
          <w:jc w:val="center"/>
        </w:trPr>
        <w:tc>
          <w:tcPr>
            <w:tcW w:w="792" w:type="dxa"/>
            <w:tcBorders>
              <w:top w:val="single" w:sz="6" w:space="0" w:color="D9D9D9"/>
              <w:left w:val="single" w:sz="6" w:space="0" w:color="D9D9D9"/>
              <w:bottom w:val="single" w:sz="6" w:space="0" w:color="D9D9D9"/>
              <w:right w:val="single" w:sz="6" w:space="0" w:color="D9D9D9"/>
            </w:tcBorders>
            <w:shd w:val="clear" w:color="auto" w:fill="FFFFFF"/>
            <w:tcMar>
              <w:top w:w="100" w:type="dxa"/>
              <w:left w:w="105" w:type="dxa"/>
              <w:bottom w:w="100" w:type="dxa"/>
              <w:right w:w="105" w:type="dxa"/>
            </w:tcMar>
            <w:vAlign w:val="center"/>
          </w:tcPr>
          <w:p w14:paraId="511B6A2D" w14:textId="77777777" w:rsidR="00171114" w:rsidRDefault="00000000">
            <w:pPr>
              <w:spacing w:after="0" w:line="252" w:lineRule="auto"/>
              <w:jc w:val="center"/>
              <w:rPr>
                <w:rFonts w:hint="eastAsia"/>
              </w:rPr>
            </w:pPr>
            <w:r>
              <w:rPr>
                <w:sz w:val="15"/>
              </w:rPr>
              <w:t>CC7.2</w:t>
            </w:r>
          </w:p>
        </w:tc>
        <w:tc>
          <w:tcPr>
            <w:tcW w:w="3960" w:type="dxa"/>
            <w:tcBorders>
              <w:top w:val="single" w:sz="6" w:space="0" w:color="D9D9D9"/>
              <w:left w:val="single" w:sz="6" w:space="0" w:color="D9D9D9"/>
              <w:bottom w:val="single" w:sz="6" w:space="0" w:color="D9D9D9"/>
              <w:right w:val="single" w:sz="6" w:space="0" w:color="D9D9D9"/>
            </w:tcBorders>
            <w:shd w:val="clear" w:color="auto" w:fill="FFFFFF"/>
            <w:tcMar>
              <w:top w:w="100" w:type="dxa"/>
              <w:left w:w="105" w:type="dxa"/>
              <w:bottom w:w="100" w:type="dxa"/>
              <w:right w:w="105" w:type="dxa"/>
            </w:tcMar>
            <w:vAlign w:val="center"/>
          </w:tcPr>
          <w:p w14:paraId="23C5304B" w14:textId="77777777" w:rsidR="00171114" w:rsidRDefault="00000000">
            <w:pPr>
              <w:spacing w:after="0" w:line="252" w:lineRule="auto"/>
              <w:rPr>
                <w:rFonts w:hint="eastAsia"/>
              </w:rPr>
            </w:pPr>
            <w:r>
              <w:rPr>
                <w:sz w:val="15"/>
              </w:rPr>
              <w:t>Alerts and state changes for drifted or unhealthy endpoint configurations</w:t>
            </w:r>
          </w:p>
        </w:tc>
        <w:tc>
          <w:tcPr>
            <w:tcW w:w="3744" w:type="dxa"/>
            <w:tcBorders>
              <w:top w:val="single" w:sz="6" w:space="0" w:color="D9D9D9"/>
              <w:left w:val="single" w:sz="6" w:space="0" w:color="D9D9D9"/>
              <w:bottom w:val="single" w:sz="6" w:space="0" w:color="D9D9D9"/>
              <w:right w:val="single" w:sz="6" w:space="0" w:color="D9D9D9"/>
            </w:tcBorders>
            <w:shd w:val="clear" w:color="auto" w:fill="FFFFFF"/>
            <w:tcMar>
              <w:top w:w="100" w:type="dxa"/>
              <w:left w:w="105" w:type="dxa"/>
              <w:bottom w:w="100" w:type="dxa"/>
              <w:right w:w="105" w:type="dxa"/>
            </w:tcMar>
            <w:vAlign w:val="center"/>
          </w:tcPr>
          <w:p w14:paraId="5EDA6EF5" w14:textId="77777777" w:rsidR="00171114" w:rsidRDefault="00000000">
            <w:pPr>
              <w:spacing w:after="0" w:line="252" w:lineRule="auto"/>
              <w:rPr>
                <w:rFonts w:hint="eastAsia"/>
              </w:rPr>
            </w:pPr>
            <w:r>
              <w:rPr>
                <w:sz w:val="15"/>
              </w:rPr>
              <w:t>Detects configuration anomalies but does not replace SIEM or behavioral monitoring</w:t>
            </w:r>
          </w:p>
        </w:tc>
        <w:tc>
          <w:tcPr>
            <w:tcW w:w="1152" w:type="dxa"/>
            <w:tcBorders>
              <w:top w:val="single" w:sz="6" w:space="0" w:color="D9D9D9"/>
              <w:left w:val="single" w:sz="6" w:space="0" w:color="D9D9D9"/>
              <w:bottom w:val="single" w:sz="6" w:space="0" w:color="D9D9D9"/>
              <w:right w:val="single" w:sz="6" w:space="0" w:color="D9D9D9"/>
            </w:tcBorders>
            <w:shd w:val="clear" w:color="auto" w:fill="FFFFFF"/>
            <w:tcMar>
              <w:top w:w="100" w:type="dxa"/>
              <w:left w:w="105" w:type="dxa"/>
              <w:bottom w:w="100" w:type="dxa"/>
              <w:right w:w="105" w:type="dxa"/>
            </w:tcMar>
            <w:vAlign w:val="center"/>
          </w:tcPr>
          <w:p w14:paraId="7CDF924E" w14:textId="77777777" w:rsidR="00171114" w:rsidRDefault="00000000">
            <w:pPr>
              <w:spacing w:after="0" w:line="252" w:lineRule="auto"/>
              <w:rPr>
                <w:rFonts w:hint="eastAsia"/>
              </w:rPr>
            </w:pPr>
            <w:r>
              <w:rPr>
                <w:sz w:val="15"/>
              </w:rPr>
              <w:t>Supporting</w:t>
            </w:r>
          </w:p>
        </w:tc>
      </w:tr>
      <w:tr w:rsidR="00171114" w14:paraId="3F766257" w14:textId="77777777">
        <w:trPr>
          <w:jc w:val="center"/>
        </w:trPr>
        <w:tc>
          <w:tcPr>
            <w:tcW w:w="792" w:type="dxa"/>
            <w:tcBorders>
              <w:top w:val="single" w:sz="6" w:space="0" w:color="D9D9D9"/>
              <w:left w:val="single" w:sz="6" w:space="0" w:color="D9D9D9"/>
              <w:bottom w:val="single" w:sz="6" w:space="0" w:color="D9D9D9"/>
              <w:right w:val="single" w:sz="6" w:space="0" w:color="D9D9D9"/>
            </w:tcBorders>
            <w:shd w:val="clear" w:color="auto" w:fill="FFF8DB"/>
            <w:tcMar>
              <w:top w:w="100" w:type="dxa"/>
              <w:left w:w="105" w:type="dxa"/>
              <w:bottom w:w="100" w:type="dxa"/>
              <w:right w:w="105" w:type="dxa"/>
            </w:tcMar>
            <w:vAlign w:val="center"/>
          </w:tcPr>
          <w:p w14:paraId="23202DD1" w14:textId="77777777" w:rsidR="00171114" w:rsidRDefault="00000000">
            <w:pPr>
              <w:spacing w:after="0" w:line="252" w:lineRule="auto"/>
              <w:jc w:val="center"/>
              <w:rPr>
                <w:rFonts w:hint="eastAsia"/>
              </w:rPr>
            </w:pPr>
            <w:r>
              <w:rPr>
                <w:sz w:val="15"/>
              </w:rPr>
              <w:t>CC8.1</w:t>
            </w:r>
          </w:p>
        </w:tc>
        <w:tc>
          <w:tcPr>
            <w:tcW w:w="3960" w:type="dxa"/>
            <w:tcBorders>
              <w:top w:val="single" w:sz="6" w:space="0" w:color="D9D9D9"/>
              <w:left w:val="single" w:sz="6" w:space="0" w:color="D9D9D9"/>
              <w:bottom w:val="single" w:sz="6" w:space="0" w:color="D9D9D9"/>
              <w:right w:val="single" w:sz="6" w:space="0" w:color="D9D9D9"/>
            </w:tcBorders>
            <w:shd w:val="clear" w:color="auto" w:fill="FFF8DB"/>
            <w:tcMar>
              <w:top w:w="100" w:type="dxa"/>
              <w:left w:w="105" w:type="dxa"/>
              <w:bottom w:w="100" w:type="dxa"/>
              <w:right w:w="105" w:type="dxa"/>
            </w:tcMar>
            <w:vAlign w:val="center"/>
          </w:tcPr>
          <w:p w14:paraId="248A6CB7" w14:textId="77777777" w:rsidR="00171114" w:rsidRDefault="00000000">
            <w:pPr>
              <w:spacing w:after="0" w:line="252" w:lineRule="auto"/>
              <w:rPr>
                <w:rFonts w:hint="eastAsia"/>
              </w:rPr>
            </w:pPr>
            <w:r>
              <w:rPr>
                <w:sz w:val="15"/>
              </w:rPr>
              <w:t>Target-state changes, annotations, exception history, and detection of unauthorized deviations</w:t>
            </w:r>
          </w:p>
        </w:tc>
        <w:tc>
          <w:tcPr>
            <w:tcW w:w="3744" w:type="dxa"/>
            <w:tcBorders>
              <w:top w:val="single" w:sz="6" w:space="0" w:color="D9D9D9"/>
              <w:left w:val="single" w:sz="6" w:space="0" w:color="D9D9D9"/>
              <w:bottom w:val="single" w:sz="6" w:space="0" w:color="D9D9D9"/>
              <w:right w:val="single" w:sz="6" w:space="0" w:color="D9D9D9"/>
            </w:tcBorders>
            <w:shd w:val="clear" w:color="auto" w:fill="FFF8DB"/>
            <w:tcMar>
              <w:top w:w="100" w:type="dxa"/>
              <w:left w:w="105" w:type="dxa"/>
              <w:bottom w:w="100" w:type="dxa"/>
              <w:right w:w="105" w:type="dxa"/>
            </w:tcMar>
            <w:vAlign w:val="center"/>
          </w:tcPr>
          <w:p w14:paraId="6D796E63" w14:textId="77777777" w:rsidR="00171114" w:rsidRDefault="00000000">
            <w:pPr>
              <w:spacing w:after="0" w:line="252" w:lineRule="auto"/>
              <w:rPr>
                <w:rFonts w:hint="eastAsia"/>
              </w:rPr>
            </w:pPr>
            <w:r>
              <w:rPr>
                <w:sz w:val="15"/>
              </w:rPr>
              <w:t>Validates implemented configuration; approval and testing remain in the change system</w:t>
            </w:r>
          </w:p>
        </w:tc>
        <w:tc>
          <w:tcPr>
            <w:tcW w:w="1152" w:type="dxa"/>
            <w:tcBorders>
              <w:top w:val="single" w:sz="6" w:space="0" w:color="D9D9D9"/>
              <w:left w:val="single" w:sz="6" w:space="0" w:color="D9D9D9"/>
              <w:bottom w:val="single" w:sz="6" w:space="0" w:color="D9D9D9"/>
              <w:right w:val="single" w:sz="6" w:space="0" w:color="D9D9D9"/>
            </w:tcBorders>
            <w:shd w:val="clear" w:color="auto" w:fill="FFF8DB"/>
            <w:tcMar>
              <w:top w:w="100" w:type="dxa"/>
              <w:left w:w="105" w:type="dxa"/>
              <w:bottom w:w="100" w:type="dxa"/>
              <w:right w:w="105" w:type="dxa"/>
            </w:tcMar>
            <w:vAlign w:val="center"/>
          </w:tcPr>
          <w:p w14:paraId="668CB7DC" w14:textId="77777777" w:rsidR="00171114" w:rsidRDefault="00000000">
            <w:pPr>
              <w:spacing w:after="0" w:line="252" w:lineRule="auto"/>
              <w:rPr>
                <w:rFonts w:hint="eastAsia"/>
              </w:rPr>
            </w:pPr>
            <w:r>
              <w:rPr>
                <w:sz w:val="15"/>
              </w:rPr>
              <w:t>Supporting</w:t>
            </w:r>
          </w:p>
        </w:tc>
      </w:tr>
      <w:tr w:rsidR="00171114" w14:paraId="20D57E97" w14:textId="77777777">
        <w:trPr>
          <w:jc w:val="center"/>
        </w:trPr>
        <w:tc>
          <w:tcPr>
            <w:tcW w:w="792" w:type="dxa"/>
            <w:tcBorders>
              <w:top w:val="single" w:sz="6" w:space="0" w:color="D9D9D9"/>
              <w:left w:val="single" w:sz="6" w:space="0" w:color="D9D9D9"/>
              <w:bottom w:val="single" w:sz="6" w:space="0" w:color="D9D9D9"/>
              <w:right w:val="single" w:sz="6" w:space="0" w:color="D9D9D9"/>
            </w:tcBorders>
            <w:shd w:val="clear" w:color="auto" w:fill="FFFFFF"/>
            <w:tcMar>
              <w:top w:w="100" w:type="dxa"/>
              <w:left w:w="105" w:type="dxa"/>
              <w:bottom w:w="100" w:type="dxa"/>
              <w:right w:w="105" w:type="dxa"/>
            </w:tcMar>
            <w:vAlign w:val="center"/>
          </w:tcPr>
          <w:p w14:paraId="3BA78144" w14:textId="77777777" w:rsidR="00171114" w:rsidRDefault="00000000">
            <w:pPr>
              <w:spacing w:after="0" w:line="252" w:lineRule="auto"/>
              <w:jc w:val="center"/>
              <w:rPr>
                <w:rFonts w:hint="eastAsia"/>
              </w:rPr>
            </w:pPr>
            <w:r>
              <w:rPr>
                <w:sz w:val="15"/>
              </w:rPr>
              <w:t>CC6.7</w:t>
            </w:r>
          </w:p>
        </w:tc>
        <w:tc>
          <w:tcPr>
            <w:tcW w:w="3960" w:type="dxa"/>
            <w:tcBorders>
              <w:top w:val="single" w:sz="6" w:space="0" w:color="D9D9D9"/>
              <w:left w:val="single" w:sz="6" w:space="0" w:color="D9D9D9"/>
              <w:bottom w:val="single" w:sz="6" w:space="0" w:color="D9D9D9"/>
              <w:right w:val="single" w:sz="6" w:space="0" w:color="D9D9D9"/>
            </w:tcBorders>
            <w:shd w:val="clear" w:color="auto" w:fill="FFFFFF"/>
            <w:tcMar>
              <w:top w:w="100" w:type="dxa"/>
              <w:left w:w="105" w:type="dxa"/>
              <w:bottom w:w="100" w:type="dxa"/>
              <w:right w:w="105" w:type="dxa"/>
            </w:tcMar>
            <w:vAlign w:val="center"/>
          </w:tcPr>
          <w:p w14:paraId="2416E97E" w14:textId="77777777" w:rsidR="00171114" w:rsidRDefault="00000000">
            <w:pPr>
              <w:spacing w:after="0" w:line="252" w:lineRule="auto"/>
              <w:rPr>
                <w:rFonts w:hint="eastAsia"/>
              </w:rPr>
            </w:pPr>
            <w:r>
              <w:rPr>
                <w:sz w:val="15"/>
              </w:rPr>
              <w:t>File sharing, device policy, printing, remote protocols, and network security settings</w:t>
            </w:r>
          </w:p>
        </w:tc>
        <w:tc>
          <w:tcPr>
            <w:tcW w:w="3744" w:type="dxa"/>
            <w:tcBorders>
              <w:top w:val="single" w:sz="6" w:space="0" w:color="D9D9D9"/>
              <w:left w:val="single" w:sz="6" w:space="0" w:color="D9D9D9"/>
              <w:bottom w:val="single" w:sz="6" w:space="0" w:color="D9D9D9"/>
              <w:right w:val="single" w:sz="6" w:space="0" w:color="D9D9D9"/>
            </w:tcBorders>
            <w:shd w:val="clear" w:color="auto" w:fill="FFFFFF"/>
            <w:tcMar>
              <w:top w:w="100" w:type="dxa"/>
              <w:left w:w="105" w:type="dxa"/>
              <w:bottom w:w="100" w:type="dxa"/>
              <w:right w:w="105" w:type="dxa"/>
            </w:tcMar>
            <w:vAlign w:val="center"/>
          </w:tcPr>
          <w:p w14:paraId="1E084DCF" w14:textId="77777777" w:rsidR="00171114" w:rsidRDefault="00000000">
            <w:pPr>
              <w:spacing w:after="0" w:line="252" w:lineRule="auto"/>
              <w:rPr>
                <w:rFonts w:hint="eastAsia"/>
              </w:rPr>
            </w:pPr>
            <w:r>
              <w:rPr>
                <w:sz w:val="15"/>
              </w:rPr>
              <w:t>Controls selected endpoint paths for information movement</w:t>
            </w:r>
          </w:p>
        </w:tc>
        <w:tc>
          <w:tcPr>
            <w:tcW w:w="1152" w:type="dxa"/>
            <w:tcBorders>
              <w:top w:val="single" w:sz="6" w:space="0" w:color="D9D9D9"/>
              <w:left w:val="single" w:sz="6" w:space="0" w:color="D9D9D9"/>
              <w:bottom w:val="single" w:sz="6" w:space="0" w:color="D9D9D9"/>
              <w:right w:val="single" w:sz="6" w:space="0" w:color="D9D9D9"/>
            </w:tcBorders>
            <w:shd w:val="clear" w:color="auto" w:fill="FFFFFF"/>
            <w:tcMar>
              <w:top w:w="100" w:type="dxa"/>
              <w:left w:w="105" w:type="dxa"/>
              <w:bottom w:w="100" w:type="dxa"/>
              <w:right w:w="105" w:type="dxa"/>
            </w:tcMar>
            <w:vAlign w:val="center"/>
          </w:tcPr>
          <w:p w14:paraId="3F9DB92B" w14:textId="77777777" w:rsidR="00171114" w:rsidRDefault="00000000">
            <w:pPr>
              <w:spacing w:after="0" w:line="252" w:lineRule="auto"/>
              <w:rPr>
                <w:rFonts w:hint="eastAsia"/>
              </w:rPr>
            </w:pPr>
            <w:r>
              <w:rPr>
                <w:sz w:val="15"/>
              </w:rPr>
              <w:t>Partial</w:t>
            </w:r>
          </w:p>
        </w:tc>
      </w:tr>
      <w:tr w:rsidR="00171114" w14:paraId="41920196" w14:textId="77777777">
        <w:trPr>
          <w:jc w:val="center"/>
        </w:trPr>
        <w:tc>
          <w:tcPr>
            <w:tcW w:w="792" w:type="dxa"/>
            <w:tcBorders>
              <w:top w:val="single" w:sz="6" w:space="0" w:color="D9D9D9"/>
              <w:left w:val="single" w:sz="6" w:space="0" w:color="D9D9D9"/>
              <w:bottom w:val="single" w:sz="6" w:space="0" w:color="D9D9D9"/>
              <w:right w:val="single" w:sz="6" w:space="0" w:color="D9D9D9"/>
            </w:tcBorders>
            <w:shd w:val="clear" w:color="auto" w:fill="FFF8DB"/>
            <w:tcMar>
              <w:top w:w="100" w:type="dxa"/>
              <w:left w:w="105" w:type="dxa"/>
              <w:bottom w:w="100" w:type="dxa"/>
              <w:right w:w="105" w:type="dxa"/>
            </w:tcMar>
            <w:vAlign w:val="center"/>
          </w:tcPr>
          <w:p w14:paraId="396623C6" w14:textId="77777777" w:rsidR="00171114" w:rsidRDefault="00000000">
            <w:pPr>
              <w:spacing w:after="0" w:line="252" w:lineRule="auto"/>
              <w:jc w:val="center"/>
              <w:rPr>
                <w:rFonts w:hint="eastAsia"/>
              </w:rPr>
            </w:pPr>
            <w:r>
              <w:rPr>
                <w:sz w:val="15"/>
              </w:rPr>
              <w:t>CC5.2</w:t>
            </w:r>
          </w:p>
        </w:tc>
        <w:tc>
          <w:tcPr>
            <w:tcW w:w="3960" w:type="dxa"/>
            <w:tcBorders>
              <w:top w:val="single" w:sz="6" w:space="0" w:color="D9D9D9"/>
              <w:left w:val="single" w:sz="6" w:space="0" w:color="D9D9D9"/>
              <w:bottom w:val="single" w:sz="6" w:space="0" w:color="D9D9D9"/>
              <w:right w:val="single" w:sz="6" w:space="0" w:color="D9D9D9"/>
            </w:tcBorders>
            <w:shd w:val="clear" w:color="auto" w:fill="FFF8DB"/>
            <w:tcMar>
              <w:top w:w="100" w:type="dxa"/>
              <w:left w:w="105" w:type="dxa"/>
              <w:bottom w:w="100" w:type="dxa"/>
              <w:right w:w="105" w:type="dxa"/>
            </w:tcMar>
            <w:vAlign w:val="center"/>
          </w:tcPr>
          <w:p w14:paraId="1E773042" w14:textId="77777777" w:rsidR="00171114" w:rsidRDefault="00000000">
            <w:pPr>
              <w:spacing w:after="0" w:line="252" w:lineRule="auto"/>
              <w:rPr>
                <w:rFonts w:hint="eastAsia"/>
              </w:rPr>
            </w:pPr>
            <w:r>
              <w:rPr>
                <w:sz w:val="15"/>
              </w:rPr>
              <w:t>Automated enforcement of defined technical control activities</w:t>
            </w:r>
          </w:p>
        </w:tc>
        <w:tc>
          <w:tcPr>
            <w:tcW w:w="3744" w:type="dxa"/>
            <w:tcBorders>
              <w:top w:val="single" w:sz="6" w:space="0" w:color="D9D9D9"/>
              <w:left w:val="single" w:sz="6" w:space="0" w:color="D9D9D9"/>
              <w:bottom w:val="single" w:sz="6" w:space="0" w:color="D9D9D9"/>
              <w:right w:val="single" w:sz="6" w:space="0" w:color="D9D9D9"/>
            </w:tcBorders>
            <w:shd w:val="clear" w:color="auto" w:fill="FFF8DB"/>
            <w:tcMar>
              <w:top w:w="100" w:type="dxa"/>
              <w:left w:w="105" w:type="dxa"/>
              <w:bottom w:w="100" w:type="dxa"/>
              <w:right w:w="105" w:type="dxa"/>
            </w:tcMar>
            <w:vAlign w:val="center"/>
          </w:tcPr>
          <w:p w14:paraId="5D8318D6" w14:textId="77777777" w:rsidR="00171114" w:rsidRDefault="00000000">
            <w:pPr>
              <w:spacing w:after="0" w:line="252" w:lineRule="auto"/>
              <w:rPr>
                <w:rFonts w:hint="eastAsia"/>
              </w:rPr>
            </w:pPr>
            <w:r>
              <w:rPr>
                <w:sz w:val="15"/>
              </w:rPr>
              <w:t>Implements technology controls at the endpoint layer</w:t>
            </w:r>
          </w:p>
        </w:tc>
        <w:tc>
          <w:tcPr>
            <w:tcW w:w="1152" w:type="dxa"/>
            <w:tcBorders>
              <w:top w:val="single" w:sz="6" w:space="0" w:color="D9D9D9"/>
              <w:left w:val="single" w:sz="6" w:space="0" w:color="D9D9D9"/>
              <w:bottom w:val="single" w:sz="6" w:space="0" w:color="D9D9D9"/>
              <w:right w:val="single" w:sz="6" w:space="0" w:color="D9D9D9"/>
            </w:tcBorders>
            <w:shd w:val="clear" w:color="auto" w:fill="FFF8DB"/>
            <w:tcMar>
              <w:top w:w="100" w:type="dxa"/>
              <w:left w:w="105" w:type="dxa"/>
              <w:bottom w:w="100" w:type="dxa"/>
              <w:right w:w="105" w:type="dxa"/>
            </w:tcMar>
            <w:vAlign w:val="center"/>
          </w:tcPr>
          <w:p w14:paraId="095CA0D0" w14:textId="77777777" w:rsidR="00171114" w:rsidRDefault="00000000">
            <w:pPr>
              <w:spacing w:after="0" w:line="252" w:lineRule="auto"/>
              <w:rPr>
                <w:rFonts w:hint="eastAsia"/>
              </w:rPr>
            </w:pPr>
            <w:r>
              <w:rPr>
                <w:sz w:val="15"/>
              </w:rPr>
              <w:t>Supporting</w:t>
            </w:r>
          </w:p>
        </w:tc>
      </w:tr>
    </w:tbl>
    <w:p w14:paraId="1953AFE9" w14:textId="77777777" w:rsidR="00171114" w:rsidRDefault="00171114">
      <w:pPr>
        <w:spacing w:after="20"/>
        <w:rPr>
          <w:rFonts w:hint="eastAsia"/>
        </w:rPr>
      </w:pPr>
    </w:p>
    <w:p w14:paraId="3A903E02" w14:textId="77777777" w:rsidR="00171114" w:rsidRDefault="00000000">
      <w:pPr>
        <w:pStyle w:val="Heading2"/>
      </w:pPr>
      <w:r>
        <w:rPr>
          <w:rFonts w:ascii="DejaVu Sans" w:hAnsi="DejaVu Sans"/>
        </w:rPr>
        <w:t>CC7.1 Configuration and vulnerability monitoring</w:t>
      </w:r>
    </w:p>
    <w:p w14:paraId="4AA7ADB0" w14:textId="77777777" w:rsidR="00171114" w:rsidRDefault="00000000">
      <w:pPr>
        <w:rPr>
          <w:rFonts w:hint="eastAsia"/>
        </w:rPr>
      </w:pPr>
      <w:r>
        <w:t>CC7.1 is the most direct mapping. Senteon allows the organization to define a target configuration, evaluate endpoints against it, identify drift, and realign settings. Its setting history provides a record of when target or current values changed and whether the change was automatically or manually corrected. This gives the control owner evidence that configuration changes introducing exposure are identified and addressed.</w:t>
      </w:r>
    </w:p>
    <w:p w14:paraId="1DBF2669" w14:textId="77777777" w:rsidR="00171114" w:rsidRDefault="00000000">
      <w:pPr>
        <w:rPr>
          <w:rFonts w:hint="eastAsia"/>
        </w:rPr>
      </w:pPr>
      <w:r>
        <w:t>The strongest implementation treats Senteon as both an enforcement mechanism and a monitoring source. The organization should still define ownership, review coverage, investigate agents that stop reporting, and govern exceptions. Those management activities complete the control around the technology.</w:t>
      </w:r>
    </w:p>
    <w:p w14:paraId="49314C15" w14:textId="77777777" w:rsidR="00171114" w:rsidRDefault="00000000">
      <w:pPr>
        <w:pStyle w:val="Heading2"/>
      </w:pPr>
      <w:r>
        <w:rPr>
          <w:rFonts w:ascii="DejaVu Sans" w:hAnsi="DejaVu Sans"/>
        </w:rPr>
        <w:t>CC6.1 Logical access security</w:t>
      </w:r>
    </w:p>
    <w:p w14:paraId="0340957A" w14:textId="77777777" w:rsidR="00171114" w:rsidRDefault="00000000">
      <w:pPr>
        <w:rPr>
          <w:rFonts w:hint="eastAsia"/>
        </w:rPr>
      </w:pPr>
      <w:r>
        <w:t>Senteon materially supports the endpoint layer of logical access security through password and lockout settings, local account restrictions, User Account Control, user rights assignment, lock screen behavior, interactive logon, session controls, and secure authentication protocols. It does not replace the identity provider, single sign-on, multifactor authentication, account provisioning, privileged access management, or periodic access review.</w:t>
      </w:r>
    </w:p>
    <w:p w14:paraId="5FB3269C" w14:textId="77777777" w:rsidR="00171114" w:rsidRDefault="00000000">
      <w:pPr>
        <w:pStyle w:val="Heading2"/>
      </w:pPr>
      <w:r>
        <w:rPr>
          <w:rFonts w:ascii="DejaVu Sans" w:hAnsi="DejaVu Sans"/>
        </w:rPr>
        <w:lastRenderedPageBreak/>
        <w:t>CC6.6 External threat protection</w:t>
      </w:r>
    </w:p>
    <w:p w14:paraId="76DD1ED7" w14:textId="77777777" w:rsidR="00171114" w:rsidRDefault="00000000">
      <w:pPr>
        <w:rPr>
          <w:rFonts w:hint="eastAsia"/>
        </w:rPr>
      </w:pPr>
      <w:r>
        <w:t>Endpoint boundary protection is another defensible mapping. Host firewall configuration, remote desktop restrictions, file-sharing hardening, secure protocol settings, and the removal or restriction of unnecessary services reduce paths an external threat can use. Senteon can show whether those protections remained aligned with the approved target state.</w:t>
      </w:r>
    </w:p>
    <w:p w14:paraId="1BF50BBA" w14:textId="77777777" w:rsidR="00171114" w:rsidRDefault="00000000">
      <w:pPr>
        <w:pStyle w:val="Heading2"/>
      </w:pPr>
      <w:r>
        <w:rPr>
          <w:rFonts w:ascii="DejaVu Sans" w:hAnsi="DejaVu Sans"/>
        </w:rPr>
        <w:t>CC6.8 Malicious software prevention</w:t>
      </w:r>
    </w:p>
    <w:p w14:paraId="22CFAE85" w14:textId="77777777" w:rsidR="00171114" w:rsidRDefault="00000000">
      <w:pPr>
        <w:rPr>
          <w:rFonts w:hint="eastAsia"/>
        </w:rPr>
      </w:pPr>
      <w:r>
        <w:t>Senteon can enforce the configuration of Microsoft Defender Antivirus, antimalware controls, installation restrictions, Windows Update, Microsoft Store, and selected system features. This is valuable evidence that the preventive layer was configured correctly. EDR or MDR remains necessary for behavioral detection, investigation, containment, and response.</w:t>
      </w:r>
    </w:p>
    <w:p w14:paraId="1466F6E4" w14:textId="77777777" w:rsidR="00171114" w:rsidRDefault="00000000">
      <w:pPr>
        <w:pStyle w:val="Heading2"/>
      </w:pPr>
      <w:r>
        <w:rPr>
          <w:rFonts w:ascii="DejaVu Sans" w:hAnsi="DejaVu Sans"/>
        </w:rPr>
        <w:t>Supporting criteria</w:t>
      </w:r>
    </w:p>
    <w:p w14:paraId="4D1A42BF" w14:textId="77777777" w:rsidR="00171114" w:rsidRDefault="00000000">
      <w:pPr>
        <w:rPr>
          <w:rFonts w:hint="eastAsia"/>
        </w:rPr>
      </w:pPr>
      <w:r>
        <w:t>Senteon contributes to CC7.2 by identifying abnormal configuration state, but it does not analyze the full range of security events. It contributes to CC8.1 by documenting the implemented state and configuration history, but it does not provide the complete approval, testing, segregation, and release process expected from enterprise change management. It supports CC6.7 for specific endpoint channels and CC5.2 as the automated execution of defined technical control activities.</w:t>
      </w:r>
    </w:p>
    <w:p w14:paraId="037F82E4" w14:textId="77777777" w:rsidR="00171114" w:rsidRDefault="00000000">
      <w:pPr>
        <w:pStyle w:val="Heading1"/>
        <w:pageBreakBefore/>
      </w:pPr>
      <w:r>
        <w:rPr>
          <w:rFonts w:ascii="DejaVu Sans" w:hAnsi="DejaVu Sans"/>
          <w:color w:val="FAAB17"/>
        </w:rPr>
        <w:lastRenderedPageBreak/>
        <w:t xml:space="preserve">5  </w:t>
      </w:r>
      <w:r>
        <w:rPr>
          <w:rFonts w:ascii="DejaVu Sans" w:hAnsi="DejaVu Sans"/>
        </w:rPr>
        <w:t>Evidence Model for Operating Effectiveness</w:t>
      </w:r>
    </w:p>
    <w:p w14:paraId="4DCD0EB6" w14:textId="77777777" w:rsidR="00171114" w:rsidRDefault="00000000">
      <w:pPr>
        <w:rPr>
          <w:rFonts w:hint="eastAsia"/>
        </w:rPr>
      </w:pPr>
      <w:r>
        <w:t>Type II evidence should prove three things: the control covered the intended population, it operated throughout the period, and deviations were handled. A single end-of-period compliance report cannot establish all three by itself.</w:t>
      </w:r>
    </w:p>
    <w:tbl>
      <w:tblPr>
        <w:tblW w:w="0" w:type="auto"/>
        <w:jc w:val="center"/>
        <w:tblLayout w:type="fixed"/>
        <w:tblLook w:val="04A0" w:firstRow="1" w:lastRow="0" w:firstColumn="1" w:lastColumn="0" w:noHBand="0" w:noVBand="1"/>
      </w:tblPr>
      <w:tblGrid>
        <w:gridCol w:w="2880"/>
        <w:gridCol w:w="4824"/>
        <w:gridCol w:w="1944"/>
      </w:tblGrid>
      <w:tr w:rsidR="00171114" w14:paraId="59E0D925" w14:textId="77777777">
        <w:trPr>
          <w:tblHeader/>
          <w:jc w:val="center"/>
        </w:trPr>
        <w:tc>
          <w:tcPr>
            <w:tcW w:w="2880" w:type="dxa"/>
            <w:tcBorders>
              <w:top w:val="single" w:sz="6" w:space="0" w:color="D9D9D9"/>
              <w:left w:val="single" w:sz="6" w:space="0" w:color="D9D9D9"/>
              <w:bottom w:val="single" w:sz="6" w:space="0" w:color="D9D9D9"/>
              <w:right w:val="single" w:sz="6" w:space="0" w:color="D9D9D9"/>
            </w:tcBorders>
            <w:shd w:val="clear" w:color="auto" w:fill="171717"/>
            <w:tcMar>
              <w:top w:w="115" w:type="dxa"/>
              <w:left w:w="110" w:type="dxa"/>
              <w:bottom w:w="115" w:type="dxa"/>
              <w:right w:w="110" w:type="dxa"/>
            </w:tcMar>
            <w:vAlign w:val="center"/>
          </w:tcPr>
          <w:p w14:paraId="4EBA4A90" w14:textId="77777777" w:rsidR="00171114" w:rsidRDefault="00000000">
            <w:pPr>
              <w:spacing w:after="0"/>
              <w:jc w:val="center"/>
              <w:rPr>
                <w:rFonts w:hint="eastAsia"/>
              </w:rPr>
            </w:pPr>
            <w:r>
              <w:rPr>
                <w:b/>
                <w:color w:val="FFFFFF"/>
                <w:sz w:val="16"/>
              </w:rPr>
              <w:t>Evidence artifact</w:t>
            </w:r>
          </w:p>
        </w:tc>
        <w:tc>
          <w:tcPr>
            <w:tcW w:w="4824" w:type="dxa"/>
            <w:tcBorders>
              <w:top w:val="single" w:sz="6" w:space="0" w:color="D9D9D9"/>
              <w:left w:val="single" w:sz="6" w:space="0" w:color="D9D9D9"/>
              <w:bottom w:val="single" w:sz="6" w:space="0" w:color="D9D9D9"/>
              <w:right w:val="single" w:sz="6" w:space="0" w:color="D9D9D9"/>
            </w:tcBorders>
            <w:shd w:val="clear" w:color="auto" w:fill="171717"/>
            <w:tcMar>
              <w:top w:w="115" w:type="dxa"/>
              <w:left w:w="110" w:type="dxa"/>
              <w:bottom w:w="115" w:type="dxa"/>
              <w:right w:w="110" w:type="dxa"/>
            </w:tcMar>
            <w:vAlign w:val="center"/>
          </w:tcPr>
          <w:p w14:paraId="5BCB461C" w14:textId="77777777" w:rsidR="00171114" w:rsidRDefault="00000000">
            <w:pPr>
              <w:spacing w:after="0"/>
              <w:rPr>
                <w:rFonts w:hint="eastAsia"/>
              </w:rPr>
            </w:pPr>
            <w:r>
              <w:rPr>
                <w:b/>
                <w:color w:val="FFFFFF"/>
                <w:sz w:val="16"/>
              </w:rPr>
              <w:t>What it proves</w:t>
            </w:r>
          </w:p>
        </w:tc>
        <w:tc>
          <w:tcPr>
            <w:tcW w:w="1944" w:type="dxa"/>
            <w:tcBorders>
              <w:top w:val="single" w:sz="6" w:space="0" w:color="D9D9D9"/>
              <w:left w:val="single" w:sz="6" w:space="0" w:color="D9D9D9"/>
              <w:bottom w:val="single" w:sz="6" w:space="0" w:color="D9D9D9"/>
              <w:right w:val="single" w:sz="6" w:space="0" w:color="D9D9D9"/>
            </w:tcBorders>
            <w:shd w:val="clear" w:color="auto" w:fill="171717"/>
            <w:tcMar>
              <w:top w:w="115" w:type="dxa"/>
              <w:left w:w="110" w:type="dxa"/>
              <w:bottom w:w="115" w:type="dxa"/>
              <w:right w:w="110" w:type="dxa"/>
            </w:tcMar>
            <w:vAlign w:val="center"/>
          </w:tcPr>
          <w:p w14:paraId="204D8B2C" w14:textId="77777777" w:rsidR="00171114" w:rsidRDefault="00000000">
            <w:pPr>
              <w:spacing w:after="0"/>
              <w:rPr>
                <w:rFonts w:hint="eastAsia"/>
              </w:rPr>
            </w:pPr>
            <w:r>
              <w:rPr>
                <w:b/>
                <w:color w:val="FFFFFF"/>
                <w:sz w:val="16"/>
              </w:rPr>
              <w:t>Suggested frequency</w:t>
            </w:r>
          </w:p>
        </w:tc>
      </w:tr>
      <w:tr w:rsidR="00171114" w14:paraId="1F33F75C" w14:textId="77777777">
        <w:trPr>
          <w:jc w:val="center"/>
        </w:trPr>
        <w:tc>
          <w:tcPr>
            <w:tcW w:w="2880" w:type="dxa"/>
            <w:tcBorders>
              <w:top w:val="single" w:sz="6" w:space="0" w:color="D9D9D9"/>
              <w:left w:val="single" w:sz="6" w:space="0" w:color="D9D9D9"/>
              <w:bottom w:val="single" w:sz="6" w:space="0" w:color="D9D9D9"/>
              <w:right w:val="single" w:sz="6" w:space="0" w:color="D9D9D9"/>
            </w:tcBorders>
            <w:shd w:val="clear" w:color="auto" w:fill="FFFFFF"/>
            <w:tcMar>
              <w:top w:w="100" w:type="dxa"/>
              <w:left w:w="105" w:type="dxa"/>
              <w:bottom w:w="100" w:type="dxa"/>
              <w:right w:w="105" w:type="dxa"/>
            </w:tcMar>
            <w:vAlign w:val="center"/>
          </w:tcPr>
          <w:p w14:paraId="21F74931" w14:textId="77777777" w:rsidR="00171114" w:rsidRDefault="00000000">
            <w:pPr>
              <w:spacing w:after="0" w:line="252" w:lineRule="auto"/>
              <w:jc w:val="center"/>
              <w:rPr>
                <w:rFonts w:hint="eastAsia"/>
              </w:rPr>
            </w:pPr>
            <w:r>
              <w:rPr>
                <w:sz w:val="16"/>
              </w:rPr>
              <w:t>Approved target configuration sets</w:t>
            </w:r>
          </w:p>
        </w:tc>
        <w:tc>
          <w:tcPr>
            <w:tcW w:w="4824" w:type="dxa"/>
            <w:tcBorders>
              <w:top w:val="single" w:sz="6" w:space="0" w:color="D9D9D9"/>
              <w:left w:val="single" w:sz="6" w:space="0" w:color="D9D9D9"/>
              <w:bottom w:val="single" w:sz="6" w:space="0" w:color="D9D9D9"/>
              <w:right w:val="single" w:sz="6" w:space="0" w:color="D9D9D9"/>
            </w:tcBorders>
            <w:shd w:val="clear" w:color="auto" w:fill="FFFFFF"/>
            <w:tcMar>
              <w:top w:w="100" w:type="dxa"/>
              <w:left w:w="105" w:type="dxa"/>
              <w:bottom w:w="100" w:type="dxa"/>
              <w:right w:w="105" w:type="dxa"/>
            </w:tcMar>
            <w:vAlign w:val="center"/>
          </w:tcPr>
          <w:p w14:paraId="26BFB418" w14:textId="77777777" w:rsidR="00171114" w:rsidRDefault="00000000">
            <w:pPr>
              <w:spacing w:after="0" w:line="252" w:lineRule="auto"/>
              <w:rPr>
                <w:rFonts w:hint="eastAsia"/>
              </w:rPr>
            </w:pPr>
            <w:r>
              <w:rPr>
                <w:sz w:val="16"/>
              </w:rPr>
              <w:t>The intended endpoint security state and profile-specific decisions</w:t>
            </w:r>
          </w:p>
        </w:tc>
        <w:tc>
          <w:tcPr>
            <w:tcW w:w="1944" w:type="dxa"/>
            <w:tcBorders>
              <w:top w:val="single" w:sz="6" w:space="0" w:color="D9D9D9"/>
              <w:left w:val="single" w:sz="6" w:space="0" w:color="D9D9D9"/>
              <w:bottom w:val="single" w:sz="6" w:space="0" w:color="D9D9D9"/>
              <w:right w:val="single" w:sz="6" w:space="0" w:color="D9D9D9"/>
            </w:tcBorders>
            <w:shd w:val="clear" w:color="auto" w:fill="FFFFFF"/>
            <w:tcMar>
              <w:top w:w="100" w:type="dxa"/>
              <w:left w:w="105" w:type="dxa"/>
              <w:bottom w:w="100" w:type="dxa"/>
              <w:right w:w="105" w:type="dxa"/>
            </w:tcMar>
            <w:vAlign w:val="center"/>
          </w:tcPr>
          <w:p w14:paraId="236CC7A6" w14:textId="77777777" w:rsidR="00171114" w:rsidRDefault="00000000">
            <w:pPr>
              <w:spacing w:after="0" w:line="252" w:lineRule="auto"/>
              <w:rPr>
                <w:rFonts w:hint="eastAsia"/>
              </w:rPr>
            </w:pPr>
            <w:r>
              <w:rPr>
                <w:sz w:val="16"/>
              </w:rPr>
              <w:t>At implementation and upon change</w:t>
            </w:r>
          </w:p>
        </w:tc>
      </w:tr>
      <w:tr w:rsidR="00171114" w14:paraId="73639902" w14:textId="77777777">
        <w:trPr>
          <w:jc w:val="center"/>
        </w:trPr>
        <w:tc>
          <w:tcPr>
            <w:tcW w:w="2880" w:type="dxa"/>
            <w:tcBorders>
              <w:top w:val="single" w:sz="6" w:space="0" w:color="D9D9D9"/>
              <w:left w:val="single" w:sz="6" w:space="0" w:color="D9D9D9"/>
              <w:bottom w:val="single" w:sz="6" w:space="0" w:color="D9D9D9"/>
              <w:right w:val="single" w:sz="6" w:space="0" w:color="D9D9D9"/>
            </w:tcBorders>
            <w:shd w:val="clear" w:color="auto" w:fill="FFF8DB"/>
            <w:tcMar>
              <w:top w:w="100" w:type="dxa"/>
              <w:left w:w="105" w:type="dxa"/>
              <w:bottom w:w="100" w:type="dxa"/>
              <w:right w:w="105" w:type="dxa"/>
            </w:tcMar>
            <w:vAlign w:val="center"/>
          </w:tcPr>
          <w:p w14:paraId="27A545E9" w14:textId="77777777" w:rsidR="00171114" w:rsidRDefault="00000000">
            <w:pPr>
              <w:spacing w:after="0" w:line="252" w:lineRule="auto"/>
              <w:jc w:val="center"/>
              <w:rPr>
                <w:rFonts w:hint="eastAsia"/>
              </w:rPr>
            </w:pPr>
            <w:r>
              <w:rPr>
                <w:sz w:val="16"/>
              </w:rPr>
              <w:t>Endpoint inventory and group assignment</w:t>
            </w:r>
          </w:p>
        </w:tc>
        <w:tc>
          <w:tcPr>
            <w:tcW w:w="4824" w:type="dxa"/>
            <w:tcBorders>
              <w:top w:val="single" w:sz="6" w:space="0" w:color="D9D9D9"/>
              <w:left w:val="single" w:sz="6" w:space="0" w:color="D9D9D9"/>
              <w:bottom w:val="single" w:sz="6" w:space="0" w:color="D9D9D9"/>
              <w:right w:val="single" w:sz="6" w:space="0" w:color="D9D9D9"/>
            </w:tcBorders>
            <w:shd w:val="clear" w:color="auto" w:fill="FFF8DB"/>
            <w:tcMar>
              <w:top w:w="100" w:type="dxa"/>
              <w:left w:w="105" w:type="dxa"/>
              <w:bottom w:w="100" w:type="dxa"/>
              <w:right w:w="105" w:type="dxa"/>
            </w:tcMar>
            <w:vAlign w:val="center"/>
          </w:tcPr>
          <w:p w14:paraId="0A77CC0C" w14:textId="77777777" w:rsidR="00171114" w:rsidRDefault="00000000">
            <w:pPr>
              <w:spacing w:after="0" w:line="252" w:lineRule="auto"/>
              <w:rPr>
                <w:rFonts w:hint="eastAsia"/>
              </w:rPr>
            </w:pPr>
            <w:r>
              <w:rPr>
                <w:sz w:val="16"/>
              </w:rPr>
              <w:t>Completeness of the in-scope population and baseline coverage</w:t>
            </w:r>
          </w:p>
        </w:tc>
        <w:tc>
          <w:tcPr>
            <w:tcW w:w="1944" w:type="dxa"/>
            <w:tcBorders>
              <w:top w:val="single" w:sz="6" w:space="0" w:color="D9D9D9"/>
              <w:left w:val="single" w:sz="6" w:space="0" w:color="D9D9D9"/>
              <w:bottom w:val="single" w:sz="6" w:space="0" w:color="D9D9D9"/>
              <w:right w:val="single" w:sz="6" w:space="0" w:color="D9D9D9"/>
            </w:tcBorders>
            <w:shd w:val="clear" w:color="auto" w:fill="FFF8DB"/>
            <w:tcMar>
              <w:top w:w="100" w:type="dxa"/>
              <w:left w:w="105" w:type="dxa"/>
              <w:bottom w:w="100" w:type="dxa"/>
              <w:right w:w="105" w:type="dxa"/>
            </w:tcMar>
            <w:vAlign w:val="center"/>
          </w:tcPr>
          <w:p w14:paraId="30DB9804" w14:textId="77777777" w:rsidR="00171114" w:rsidRDefault="00000000">
            <w:pPr>
              <w:spacing w:after="0" w:line="252" w:lineRule="auto"/>
              <w:rPr>
                <w:rFonts w:hint="eastAsia"/>
              </w:rPr>
            </w:pPr>
            <w:r>
              <w:rPr>
                <w:sz w:val="16"/>
              </w:rPr>
              <w:t>Monthly and at period end</w:t>
            </w:r>
          </w:p>
        </w:tc>
      </w:tr>
      <w:tr w:rsidR="00171114" w14:paraId="10BDE1AE" w14:textId="77777777">
        <w:trPr>
          <w:jc w:val="center"/>
        </w:trPr>
        <w:tc>
          <w:tcPr>
            <w:tcW w:w="2880" w:type="dxa"/>
            <w:tcBorders>
              <w:top w:val="single" w:sz="6" w:space="0" w:color="D9D9D9"/>
              <w:left w:val="single" w:sz="6" w:space="0" w:color="D9D9D9"/>
              <w:bottom w:val="single" w:sz="6" w:space="0" w:color="D9D9D9"/>
              <w:right w:val="single" w:sz="6" w:space="0" w:color="D9D9D9"/>
            </w:tcBorders>
            <w:shd w:val="clear" w:color="auto" w:fill="FFFFFF"/>
            <w:tcMar>
              <w:top w:w="100" w:type="dxa"/>
              <w:left w:w="105" w:type="dxa"/>
              <w:bottom w:w="100" w:type="dxa"/>
              <w:right w:w="105" w:type="dxa"/>
            </w:tcMar>
            <w:vAlign w:val="center"/>
          </w:tcPr>
          <w:p w14:paraId="4EF1CD79" w14:textId="77777777" w:rsidR="00171114" w:rsidRDefault="00000000">
            <w:pPr>
              <w:spacing w:after="0" w:line="252" w:lineRule="auto"/>
              <w:jc w:val="center"/>
              <w:rPr>
                <w:rFonts w:hint="eastAsia"/>
              </w:rPr>
            </w:pPr>
            <w:r>
              <w:rPr>
                <w:sz w:val="16"/>
              </w:rPr>
              <w:t>Agent and connection status</w:t>
            </w:r>
          </w:p>
        </w:tc>
        <w:tc>
          <w:tcPr>
            <w:tcW w:w="4824" w:type="dxa"/>
            <w:tcBorders>
              <w:top w:val="single" w:sz="6" w:space="0" w:color="D9D9D9"/>
              <w:left w:val="single" w:sz="6" w:space="0" w:color="D9D9D9"/>
              <w:bottom w:val="single" w:sz="6" w:space="0" w:color="D9D9D9"/>
              <w:right w:val="single" w:sz="6" w:space="0" w:color="D9D9D9"/>
            </w:tcBorders>
            <w:shd w:val="clear" w:color="auto" w:fill="FFFFFF"/>
            <w:tcMar>
              <w:top w:w="100" w:type="dxa"/>
              <w:left w:w="105" w:type="dxa"/>
              <w:bottom w:w="100" w:type="dxa"/>
              <w:right w:w="105" w:type="dxa"/>
            </w:tcMar>
            <w:vAlign w:val="center"/>
          </w:tcPr>
          <w:p w14:paraId="2D647C97" w14:textId="77777777" w:rsidR="00171114" w:rsidRDefault="00000000">
            <w:pPr>
              <w:spacing w:after="0" w:line="252" w:lineRule="auto"/>
              <w:rPr>
                <w:rFonts w:hint="eastAsia"/>
              </w:rPr>
            </w:pPr>
            <w:r>
              <w:rPr>
                <w:sz w:val="16"/>
              </w:rPr>
              <w:t>Whether the control mechanism remained active on in-scope endpoints</w:t>
            </w:r>
          </w:p>
        </w:tc>
        <w:tc>
          <w:tcPr>
            <w:tcW w:w="1944" w:type="dxa"/>
            <w:tcBorders>
              <w:top w:val="single" w:sz="6" w:space="0" w:color="D9D9D9"/>
              <w:left w:val="single" w:sz="6" w:space="0" w:color="D9D9D9"/>
              <w:bottom w:val="single" w:sz="6" w:space="0" w:color="D9D9D9"/>
              <w:right w:val="single" w:sz="6" w:space="0" w:color="D9D9D9"/>
            </w:tcBorders>
            <w:shd w:val="clear" w:color="auto" w:fill="FFFFFF"/>
            <w:tcMar>
              <w:top w:w="100" w:type="dxa"/>
              <w:left w:w="105" w:type="dxa"/>
              <w:bottom w:w="100" w:type="dxa"/>
              <w:right w:w="105" w:type="dxa"/>
            </w:tcMar>
            <w:vAlign w:val="center"/>
          </w:tcPr>
          <w:p w14:paraId="030C7A56" w14:textId="77777777" w:rsidR="00171114" w:rsidRDefault="00000000">
            <w:pPr>
              <w:spacing w:after="0" w:line="252" w:lineRule="auto"/>
              <w:rPr>
                <w:rFonts w:hint="eastAsia"/>
              </w:rPr>
            </w:pPr>
            <w:r>
              <w:rPr>
                <w:sz w:val="16"/>
              </w:rPr>
              <w:t>Continuous with monthly review</w:t>
            </w:r>
          </w:p>
        </w:tc>
      </w:tr>
      <w:tr w:rsidR="00171114" w14:paraId="36633CBE" w14:textId="77777777">
        <w:trPr>
          <w:jc w:val="center"/>
        </w:trPr>
        <w:tc>
          <w:tcPr>
            <w:tcW w:w="2880" w:type="dxa"/>
            <w:tcBorders>
              <w:top w:val="single" w:sz="6" w:space="0" w:color="D9D9D9"/>
              <w:left w:val="single" w:sz="6" w:space="0" w:color="D9D9D9"/>
              <w:bottom w:val="single" w:sz="6" w:space="0" w:color="D9D9D9"/>
              <w:right w:val="single" w:sz="6" w:space="0" w:color="D9D9D9"/>
            </w:tcBorders>
            <w:shd w:val="clear" w:color="auto" w:fill="FFF8DB"/>
            <w:tcMar>
              <w:top w:w="100" w:type="dxa"/>
              <w:left w:w="105" w:type="dxa"/>
              <w:bottom w:w="100" w:type="dxa"/>
              <w:right w:w="105" w:type="dxa"/>
            </w:tcMar>
            <w:vAlign w:val="center"/>
          </w:tcPr>
          <w:p w14:paraId="5F8778AC" w14:textId="77777777" w:rsidR="00171114" w:rsidRDefault="00000000">
            <w:pPr>
              <w:spacing w:after="0" w:line="252" w:lineRule="auto"/>
              <w:jc w:val="center"/>
              <w:rPr>
                <w:rFonts w:hint="eastAsia"/>
              </w:rPr>
            </w:pPr>
            <w:r>
              <w:rPr>
                <w:sz w:val="16"/>
              </w:rPr>
              <w:t>Health and compliance reports</w:t>
            </w:r>
          </w:p>
        </w:tc>
        <w:tc>
          <w:tcPr>
            <w:tcW w:w="4824" w:type="dxa"/>
            <w:tcBorders>
              <w:top w:val="single" w:sz="6" w:space="0" w:color="D9D9D9"/>
              <w:left w:val="single" w:sz="6" w:space="0" w:color="D9D9D9"/>
              <w:bottom w:val="single" w:sz="6" w:space="0" w:color="D9D9D9"/>
              <w:right w:val="single" w:sz="6" w:space="0" w:color="D9D9D9"/>
            </w:tcBorders>
            <w:shd w:val="clear" w:color="auto" w:fill="FFF8DB"/>
            <w:tcMar>
              <w:top w:w="100" w:type="dxa"/>
              <w:left w:w="105" w:type="dxa"/>
              <w:bottom w:w="100" w:type="dxa"/>
              <w:right w:w="105" w:type="dxa"/>
            </w:tcMar>
            <w:vAlign w:val="center"/>
          </w:tcPr>
          <w:p w14:paraId="6B2D529F" w14:textId="77777777" w:rsidR="00171114" w:rsidRDefault="00000000">
            <w:pPr>
              <w:spacing w:after="0" w:line="252" w:lineRule="auto"/>
              <w:rPr>
                <w:rFonts w:hint="eastAsia"/>
              </w:rPr>
            </w:pPr>
            <w:r>
              <w:rPr>
                <w:sz w:val="16"/>
              </w:rPr>
              <w:t>Actual endpoint alignment with target values</w:t>
            </w:r>
          </w:p>
        </w:tc>
        <w:tc>
          <w:tcPr>
            <w:tcW w:w="1944" w:type="dxa"/>
            <w:tcBorders>
              <w:top w:val="single" w:sz="6" w:space="0" w:color="D9D9D9"/>
              <w:left w:val="single" w:sz="6" w:space="0" w:color="D9D9D9"/>
              <w:bottom w:val="single" w:sz="6" w:space="0" w:color="D9D9D9"/>
              <w:right w:val="single" w:sz="6" w:space="0" w:color="D9D9D9"/>
            </w:tcBorders>
            <w:shd w:val="clear" w:color="auto" w:fill="FFF8DB"/>
            <w:tcMar>
              <w:top w:w="100" w:type="dxa"/>
              <w:left w:w="105" w:type="dxa"/>
              <w:bottom w:w="100" w:type="dxa"/>
              <w:right w:w="105" w:type="dxa"/>
            </w:tcMar>
            <w:vAlign w:val="center"/>
          </w:tcPr>
          <w:p w14:paraId="44C78C6E" w14:textId="77777777" w:rsidR="00171114" w:rsidRDefault="00000000">
            <w:pPr>
              <w:spacing w:after="0" w:line="252" w:lineRule="auto"/>
              <w:rPr>
                <w:rFonts w:hint="eastAsia"/>
              </w:rPr>
            </w:pPr>
            <w:r>
              <w:rPr>
                <w:sz w:val="16"/>
              </w:rPr>
              <w:t>Monthly or quarterly</w:t>
            </w:r>
          </w:p>
        </w:tc>
      </w:tr>
      <w:tr w:rsidR="00171114" w14:paraId="103445F0" w14:textId="77777777">
        <w:trPr>
          <w:jc w:val="center"/>
        </w:trPr>
        <w:tc>
          <w:tcPr>
            <w:tcW w:w="2880" w:type="dxa"/>
            <w:tcBorders>
              <w:top w:val="single" w:sz="6" w:space="0" w:color="D9D9D9"/>
              <w:left w:val="single" w:sz="6" w:space="0" w:color="D9D9D9"/>
              <w:bottom w:val="single" w:sz="6" w:space="0" w:color="D9D9D9"/>
              <w:right w:val="single" w:sz="6" w:space="0" w:color="D9D9D9"/>
            </w:tcBorders>
            <w:shd w:val="clear" w:color="auto" w:fill="FFFFFF"/>
            <w:tcMar>
              <w:top w:w="100" w:type="dxa"/>
              <w:left w:w="105" w:type="dxa"/>
              <w:bottom w:w="100" w:type="dxa"/>
              <w:right w:w="105" w:type="dxa"/>
            </w:tcMar>
            <w:vAlign w:val="center"/>
          </w:tcPr>
          <w:p w14:paraId="181E0444" w14:textId="77777777" w:rsidR="00171114" w:rsidRDefault="00000000">
            <w:pPr>
              <w:spacing w:after="0" w:line="252" w:lineRule="auto"/>
              <w:jc w:val="center"/>
              <w:rPr>
                <w:rFonts w:hint="eastAsia"/>
              </w:rPr>
            </w:pPr>
            <w:r>
              <w:rPr>
                <w:sz w:val="16"/>
              </w:rPr>
              <w:t>Setting history and drift events</w:t>
            </w:r>
          </w:p>
        </w:tc>
        <w:tc>
          <w:tcPr>
            <w:tcW w:w="4824" w:type="dxa"/>
            <w:tcBorders>
              <w:top w:val="single" w:sz="6" w:space="0" w:color="D9D9D9"/>
              <w:left w:val="single" w:sz="6" w:space="0" w:color="D9D9D9"/>
              <w:bottom w:val="single" w:sz="6" w:space="0" w:color="D9D9D9"/>
              <w:right w:val="single" w:sz="6" w:space="0" w:color="D9D9D9"/>
            </w:tcBorders>
            <w:shd w:val="clear" w:color="auto" w:fill="FFFFFF"/>
            <w:tcMar>
              <w:top w:w="100" w:type="dxa"/>
              <w:left w:w="105" w:type="dxa"/>
              <w:bottom w:w="100" w:type="dxa"/>
              <w:right w:w="105" w:type="dxa"/>
            </w:tcMar>
            <w:vAlign w:val="center"/>
          </w:tcPr>
          <w:p w14:paraId="529663DE" w14:textId="77777777" w:rsidR="00171114" w:rsidRDefault="00000000">
            <w:pPr>
              <w:spacing w:after="0" w:line="252" w:lineRule="auto"/>
              <w:rPr>
                <w:rFonts w:hint="eastAsia"/>
              </w:rPr>
            </w:pPr>
            <w:r>
              <w:rPr>
                <w:sz w:val="16"/>
              </w:rPr>
              <w:t>Occurrence, timing, and disposition of deviations</w:t>
            </w:r>
          </w:p>
        </w:tc>
        <w:tc>
          <w:tcPr>
            <w:tcW w:w="1944" w:type="dxa"/>
            <w:tcBorders>
              <w:top w:val="single" w:sz="6" w:space="0" w:color="D9D9D9"/>
              <w:left w:val="single" w:sz="6" w:space="0" w:color="D9D9D9"/>
              <w:bottom w:val="single" w:sz="6" w:space="0" w:color="D9D9D9"/>
              <w:right w:val="single" w:sz="6" w:space="0" w:color="D9D9D9"/>
            </w:tcBorders>
            <w:shd w:val="clear" w:color="auto" w:fill="FFFFFF"/>
            <w:tcMar>
              <w:top w:w="100" w:type="dxa"/>
              <w:left w:w="105" w:type="dxa"/>
              <w:bottom w:w="100" w:type="dxa"/>
              <w:right w:w="105" w:type="dxa"/>
            </w:tcMar>
            <w:vAlign w:val="center"/>
          </w:tcPr>
          <w:p w14:paraId="6E821A35" w14:textId="77777777" w:rsidR="00171114" w:rsidRDefault="00000000">
            <w:pPr>
              <w:spacing w:after="0" w:line="252" w:lineRule="auto"/>
              <w:rPr>
                <w:rFonts w:hint="eastAsia"/>
              </w:rPr>
            </w:pPr>
            <w:r>
              <w:rPr>
                <w:sz w:val="16"/>
              </w:rPr>
              <w:t>Continuous with sampled exports</w:t>
            </w:r>
          </w:p>
        </w:tc>
      </w:tr>
      <w:tr w:rsidR="00171114" w14:paraId="5FFE6D09" w14:textId="77777777">
        <w:trPr>
          <w:jc w:val="center"/>
        </w:trPr>
        <w:tc>
          <w:tcPr>
            <w:tcW w:w="2880" w:type="dxa"/>
            <w:tcBorders>
              <w:top w:val="single" w:sz="6" w:space="0" w:color="D9D9D9"/>
              <w:left w:val="single" w:sz="6" w:space="0" w:color="D9D9D9"/>
              <w:bottom w:val="single" w:sz="6" w:space="0" w:color="D9D9D9"/>
              <w:right w:val="single" w:sz="6" w:space="0" w:color="D9D9D9"/>
            </w:tcBorders>
            <w:shd w:val="clear" w:color="auto" w:fill="FFF8DB"/>
            <w:tcMar>
              <w:top w:w="100" w:type="dxa"/>
              <w:left w:w="105" w:type="dxa"/>
              <w:bottom w:w="100" w:type="dxa"/>
              <w:right w:w="105" w:type="dxa"/>
            </w:tcMar>
            <w:vAlign w:val="center"/>
          </w:tcPr>
          <w:p w14:paraId="406BC435" w14:textId="77777777" w:rsidR="00171114" w:rsidRDefault="00000000">
            <w:pPr>
              <w:spacing w:after="0" w:line="252" w:lineRule="auto"/>
              <w:jc w:val="center"/>
              <w:rPr>
                <w:rFonts w:hint="eastAsia"/>
              </w:rPr>
            </w:pPr>
            <w:r>
              <w:rPr>
                <w:sz w:val="16"/>
              </w:rPr>
              <w:t>Automatic and manual realignment records</w:t>
            </w:r>
          </w:p>
        </w:tc>
        <w:tc>
          <w:tcPr>
            <w:tcW w:w="4824" w:type="dxa"/>
            <w:tcBorders>
              <w:top w:val="single" w:sz="6" w:space="0" w:color="D9D9D9"/>
              <w:left w:val="single" w:sz="6" w:space="0" w:color="D9D9D9"/>
              <w:bottom w:val="single" w:sz="6" w:space="0" w:color="D9D9D9"/>
              <w:right w:val="single" w:sz="6" w:space="0" w:color="D9D9D9"/>
            </w:tcBorders>
            <w:shd w:val="clear" w:color="auto" w:fill="FFF8DB"/>
            <w:tcMar>
              <w:top w:w="100" w:type="dxa"/>
              <w:left w:w="105" w:type="dxa"/>
              <w:bottom w:w="100" w:type="dxa"/>
              <w:right w:w="105" w:type="dxa"/>
            </w:tcMar>
            <w:vAlign w:val="center"/>
          </w:tcPr>
          <w:p w14:paraId="0152EBB1" w14:textId="77777777" w:rsidR="00171114" w:rsidRDefault="00000000">
            <w:pPr>
              <w:spacing w:after="0" w:line="252" w:lineRule="auto"/>
              <w:rPr>
                <w:rFonts w:hint="eastAsia"/>
              </w:rPr>
            </w:pPr>
            <w:r>
              <w:rPr>
                <w:sz w:val="16"/>
              </w:rPr>
              <w:t>That identified drift was corrected</w:t>
            </w:r>
          </w:p>
        </w:tc>
        <w:tc>
          <w:tcPr>
            <w:tcW w:w="1944" w:type="dxa"/>
            <w:tcBorders>
              <w:top w:val="single" w:sz="6" w:space="0" w:color="D9D9D9"/>
              <w:left w:val="single" w:sz="6" w:space="0" w:color="D9D9D9"/>
              <w:bottom w:val="single" w:sz="6" w:space="0" w:color="D9D9D9"/>
              <w:right w:val="single" w:sz="6" w:space="0" w:color="D9D9D9"/>
            </w:tcBorders>
            <w:shd w:val="clear" w:color="auto" w:fill="FFF8DB"/>
            <w:tcMar>
              <w:top w:w="100" w:type="dxa"/>
              <w:left w:w="105" w:type="dxa"/>
              <w:bottom w:w="100" w:type="dxa"/>
              <w:right w:w="105" w:type="dxa"/>
            </w:tcMar>
            <w:vAlign w:val="center"/>
          </w:tcPr>
          <w:p w14:paraId="65288EE2" w14:textId="77777777" w:rsidR="00171114" w:rsidRDefault="00000000">
            <w:pPr>
              <w:spacing w:after="0" w:line="252" w:lineRule="auto"/>
              <w:rPr>
                <w:rFonts w:hint="eastAsia"/>
              </w:rPr>
            </w:pPr>
            <w:r>
              <w:rPr>
                <w:sz w:val="16"/>
              </w:rPr>
              <w:t>Continuous with sampled exports</w:t>
            </w:r>
          </w:p>
        </w:tc>
      </w:tr>
      <w:tr w:rsidR="00171114" w14:paraId="5646F89B" w14:textId="77777777">
        <w:trPr>
          <w:jc w:val="center"/>
        </w:trPr>
        <w:tc>
          <w:tcPr>
            <w:tcW w:w="2880" w:type="dxa"/>
            <w:tcBorders>
              <w:top w:val="single" w:sz="6" w:space="0" w:color="D9D9D9"/>
              <w:left w:val="single" w:sz="6" w:space="0" w:color="D9D9D9"/>
              <w:bottom w:val="single" w:sz="6" w:space="0" w:color="D9D9D9"/>
              <w:right w:val="single" w:sz="6" w:space="0" w:color="D9D9D9"/>
            </w:tcBorders>
            <w:shd w:val="clear" w:color="auto" w:fill="FFFFFF"/>
            <w:tcMar>
              <w:top w:w="100" w:type="dxa"/>
              <w:left w:w="105" w:type="dxa"/>
              <w:bottom w:w="100" w:type="dxa"/>
              <w:right w:w="105" w:type="dxa"/>
            </w:tcMar>
            <w:vAlign w:val="center"/>
          </w:tcPr>
          <w:p w14:paraId="3EA9DE04" w14:textId="77777777" w:rsidR="00171114" w:rsidRDefault="00000000">
            <w:pPr>
              <w:spacing w:after="0" w:line="252" w:lineRule="auto"/>
              <w:jc w:val="center"/>
              <w:rPr>
                <w:rFonts w:hint="eastAsia"/>
              </w:rPr>
            </w:pPr>
            <w:r>
              <w:rPr>
                <w:sz w:val="16"/>
              </w:rPr>
              <w:t>Exception groups and annotations</w:t>
            </w:r>
          </w:p>
        </w:tc>
        <w:tc>
          <w:tcPr>
            <w:tcW w:w="4824" w:type="dxa"/>
            <w:tcBorders>
              <w:top w:val="single" w:sz="6" w:space="0" w:color="D9D9D9"/>
              <w:left w:val="single" w:sz="6" w:space="0" w:color="D9D9D9"/>
              <w:bottom w:val="single" w:sz="6" w:space="0" w:color="D9D9D9"/>
              <w:right w:val="single" w:sz="6" w:space="0" w:color="D9D9D9"/>
            </w:tcBorders>
            <w:shd w:val="clear" w:color="auto" w:fill="FFFFFF"/>
            <w:tcMar>
              <w:top w:w="100" w:type="dxa"/>
              <w:left w:w="105" w:type="dxa"/>
              <w:bottom w:w="100" w:type="dxa"/>
              <w:right w:w="105" w:type="dxa"/>
            </w:tcMar>
            <w:vAlign w:val="center"/>
          </w:tcPr>
          <w:p w14:paraId="15B720F0" w14:textId="77777777" w:rsidR="00171114" w:rsidRDefault="00000000">
            <w:pPr>
              <w:spacing w:after="0" w:line="252" w:lineRule="auto"/>
              <w:rPr>
                <w:rFonts w:hint="eastAsia"/>
              </w:rPr>
            </w:pPr>
            <w:r>
              <w:rPr>
                <w:sz w:val="16"/>
              </w:rPr>
              <w:t>That deviations were intentional, documented, and scoped</w:t>
            </w:r>
          </w:p>
        </w:tc>
        <w:tc>
          <w:tcPr>
            <w:tcW w:w="1944" w:type="dxa"/>
            <w:tcBorders>
              <w:top w:val="single" w:sz="6" w:space="0" w:color="D9D9D9"/>
              <w:left w:val="single" w:sz="6" w:space="0" w:color="D9D9D9"/>
              <w:bottom w:val="single" w:sz="6" w:space="0" w:color="D9D9D9"/>
              <w:right w:val="single" w:sz="6" w:space="0" w:color="D9D9D9"/>
            </w:tcBorders>
            <w:shd w:val="clear" w:color="auto" w:fill="FFFFFF"/>
            <w:tcMar>
              <w:top w:w="100" w:type="dxa"/>
              <w:left w:w="105" w:type="dxa"/>
              <w:bottom w:w="100" w:type="dxa"/>
              <w:right w:w="105" w:type="dxa"/>
            </w:tcMar>
            <w:vAlign w:val="center"/>
          </w:tcPr>
          <w:p w14:paraId="2D7756BA" w14:textId="77777777" w:rsidR="00171114" w:rsidRDefault="00000000">
            <w:pPr>
              <w:spacing w:after="0" w:line="252" w:lineRule="auto"/>
              <w:rPr>
                <w:rFonts w:hint="eastAsia"/>
              </w:rPr>
            </w:pPr>
            <w:r>
              <w:rPr>
                <w:sz w:val="16"/>
              </w:rPr>
              <w:t>At change and quarterly review</w:t>
            </w:r>
          </w:p>
        </w:tc>
      </w:tr>
      <w:tr w:rsidR="00171114" w14:paraId="017FE033" w14:textId="77777777">
        <w:trPr>
          <w:jc w:val="center"/>
        </w:trPr>
        <w:tc>
          <w:tcPr>
            <w:tcW w:w="2880" w:type="dxa"/>
            <w:tcBorders>
              <w:top w:val="single" w:sz="6" w:space="0" w:color="D9D9D9"/>
              <w:left w:val="single" w:sz="6" w:space="0" w:color="D9D9D9"/>
              <w:bottom w:val="single" w:sz="6" w:space="0" w:color="D9D9D9"/>
              <w:right w:val="single" w:sz="6" w:space="0" w:color="D9D9D9"/>
            </w:tcBorders>
            <w:shd w:val="clear" w:color="auto" w:fill="FFF8DB"/>
            <w:tcMar>
              <w:top w:w="100" w:type="dxa"/>
              <w:left w:w="105" w:type="dxa"/>
              <w:bottom w:w="100" w:type="dxa"/>
              <w:right w:w="105" w:type="dxa"/>
            </w:tcMar>
            <w:vAlign w:val="center"/>
          </w:tcPr>
          <w:p w14:paraId="7BBC46BE" w14:textId="77777777" w:rsidR="00171114" w:rsidRDefault="00000000">
            <w:pPr>
              <w:spacing w:after="0" w:line="252" w:lineRule="auto"/>
              <w:jc w:val="center"/>
              <w:rPr>
                <w:rFonts w:hint="eastAsia"/>
              </w:rPr>
            </w:pPr>
            <w:r>
              <w:rPr>
                <w:sz w:val="16"/>
              </w:rPr>
              <w:t>Baseline change tickets</w:t>
            </w:r>
          </w:p>
        </w:tc>
        <w:tc>
          <w:tcPr>
            <w:tcW w:w="4824" w:type="dxa"/>
            <w:tcBorders>
              <w:top w:val="single" w:sz="6" w:space="0" w:color="D9D9D9"/>
              <w:left w:val="single" w:sz="6" w:space="0" w:color="D9D9D9"/>
              <w:bottom w:val="single" w:sz="6" w:space="0" w:color="D9D9D9"/>
              <w:right w:val="single" w:sz="6" w:space="0" w:color="D9D9D9"/>
            </w:tcBorders>
            <w:shd w:val="clear" w:color="auto" w:fill="FFF8DB"/>
            <w:tcMar>
              <w:top w:w="100" w:type="dxa"/>
              <w:left w:w="105" w:type="dxa"/>
              <w:bottom w:w="100" w:type="dxa"/>
              <w:right w:w="105" w:type="dxa"/>
            </w:tcMar>
            <w:vAlign w:val="center"/>
          </w:tcPr>
          <w:p w14:paraId="00F2F192" w14:textId="77777777" w:rsidR="00171114" w:rsidRDefault="00000000">
            <w:pPr>
              <w:spacing w:after="0" w:line="252" w:lineRule="auto"/>
              <w:rPr>
                <w:rFonts w:hint="eastAsia"/>
              </w:rPr>
            </w:pPr>
            <w:r>
              <w:rPr>
                <w:sz w:val="16"/>
              </w:rPr>
              <w:t>Authorization, testing, and approval outside Senteon</w:t>
            </w:r>
          </w:p>
        </w:tc>
        <w:tc>
          <w:tcPr>
            <w:tcW w:w="1944" w:type="dxa"/>
            <w:tcBorders>
              <w:top w:val="single" w:sz="6" w:space="0" w:color="D9D9D9"/>
              <w:left w:val="single" w:sz="6" w:space="0" w:color="D9D9D9"/>
              <w:bottom w:val="single" w:sz="6" w:space="0" w:color="D9D9D9"/>
              <w:right w:val="single" w:sz="6" w:space="0" w:color="D9D9D9"/>
            </w:tcBorders>
            <w:shd w:val="clear" w:color="auto" w:fill="FFF8DB"/>
            <w:tcMar>
              <w:top w:w="100" w:type="dxa"/>
              <w:left w:w="105" w:type="dxa"/>
              <w:bottom w:w="100" w:type="dxa"/>
              <w:right w:w="105" w:type="dxa"/>
            </w:tcMar>
            <w:vAlign w:val="center"/>
          </w:tcPr>
          <w:p w14:paraId="032A1BF9" w14:textId="77777777" w:rsidR="00171114" w:rsidRDefault="00000000">
            <w:pPr>
              <w:spacing w:after="0" w:line="252" w:lineRule="auto"/>
              <w:rPr>
                <w:rFonts w:hint="eastAsia"/>
              </w:rPr>
            </w:pPr>
            <w:r>
              <w:rPr>
                <w:sz w:val="16"/>
              </w:rPr>
              <w:t>For every material change</w:t>
            </w:r>
          </w:p>
        </w:tc>
      </w:tr>
      <w:tr w:rsidR="00171114" w14:paraId="2202E4EE" w14:textId="77777777">
        <w:trPr>
          <w:jc w:val="center"/>
        </w:trPr>
        <w:tc>
          <w:tcPr>
            <w:tcW w:w="2880" w:type="dxa"/>
            <w:tcBorders>
              <w:top w:val="single" w:sz="6" w:space="0" w:color="D9D9D9"/>
              <w:left w:val="single" w:sz="6" w:space="0" w:color="D9D9D9"/>
              <w:bottom w:val="single" w:sz="6" w:space="0" w:color="D9D9D9"/>
              <w:right w:val="single" w:sz="6" w:space="0" w:color="D9D9D9"/>
            </w:tcBorders>
            <w:shd w:val="clear" w:color="auto" w:fill="FFFFFF"/>
            <w:tcMar>
              <w:top w:w="100" w:type="dxa"/>
              <w:left w:w="105" w:type="dxa"/>
              <w:bottom w:w="100" w:type="dxa"/>
              <w:right w:w="105" w:type="dxa"/>
            </w:tcMar>
            <w:vAlign w:val="center"/>
          </w:tcPr>
          <w:p w14:paraId="21C8C11B" w14:textId="77777777" w:rsidR="00171114" w:rsidRDefault="00000000">
            <w:pPr>
              <w:spacing w:after="0" w:line="252" w:lineRule="auto"/>
              <w:jc w:val="center"/>
              <w:rPr>
                <w:rFonts w:hint="eastAsia"/>
              </w:rPr>
            </w:pPr>
            <w:r>
              <w:rPr>
                <w:sz w:val="16"/>
              </w:rPr>
              <w:t>Periodic control review</w:t>
            </w:r>
          </w:p>
        </w:tc>
        <w:tc>
          <w:tcPr>
            <w:tcW w:w="4824" w:type="dxa"/>
            <w:tcBorders>
              <w:top w:val="single" w:sz="6" w:space="0" w:color="D9D9D9"/>
              <w:left w:val="single" w:sz="6" w:space="0" w:color="D9D9D9"/>
              <w:bottom w:val="single" w:sz="6" w:space="0" w:color="D9D9D9"/>
              <w:right w:val="single" w:sz="6" w:space="0" w:color="D9D9D9"/>
            </w:tcBorders>
            <w:shd w:val="clear" w:color="auto" w:fill="FFFFFF"/>
            <w:tcMar>
              <w:top w:w="100" w:type="dxa"/>
              <w:left w:w="105" w:type="dxa"/>
              <w:bottom w:w="100" w:type="dxa"/>
              <w:right w:w="105" w:type="dxa"/>
            </w:tcMar>
            <w:vAlign w:val="center"/>
          </w:tcPr>
          <w:p w14:paraId="2DA4F954" w14:textId="77777777" w:rsidR="00171114" w:rsidRDefault="00000000">
            <w:pPr>
              <w:spacing w:after="0" w:line="252" w:lineRule="auto"/>
              <w:rPr>
                <w:rFonts w:hint="eastAsia"/>
              </w:rPr>
            </w:pPr>
            <w:r>
              <w:rPr>
                <w:sz w:val="16"/>
              </w:rPr>
              <w:t>Management oversight of coverage, drift, exceptions, and unresolved issues</w:t>
            </w:r>
          </w:p>
        </w:tc>
        <w:tc>
          <w:tcPr>
            <w:tcW w:w="1944" w:type="dxa"/>
            <w:tcBorders>
              <w:top w:val="single" w:sz="6" w:space="0" w:color="D9D9D9"/>
              <w:left w:val="single" w:sz="6" w:space="0" w:color="D9D9D9"/>
              <w:bottom w:val="single" w:sz="6" w:space="0" w:color="D9D9D9"/>
              <w:right w:val="single" w:sz="6" w:space="0" w:color="D9D9D9"/>
            </w:tcBorders>
            <w:shd w:val="clear" w:color="auto" w:fill="FFFFFF"/>
            <w:tcMar>
              <w:top w:w="100" w:type="dxa"/>
              <w:left w:w="105" w:type="dxa"/>
              <w:bottom w:w="100" w:type="dxa"/>
              <w:right w:w="105" w:type="dxa"/>
            </w:tcMar>
            <w:vAlign w:val="center"/>
          </w:tcPr>
          <w:p w14:paraId="2CFDDC8D" w14:textId="77777777" w:rsidR="00171114" w:rsidRDefault="00000000">
            <w:pPr>
              <w:spacing w:after="0" w:line="252" w:lineRule="auto"/>
              <w:rPr>
                <w:rFonts w:hint="eastAsia"/>
              </w:rPr>
            </w:pPr>
            <w:r>
              <w:rPr>
                <w:sz w:val="16"/>
              </w:rPr>
              <w:t>Monthly or quarterly</w:t>
            </w:r>
          </w:p>
        </w:tc>
      </w:tr>
    </w:tbl>
    <w:p w14:paraId="6415362B" w14:textId="77777777" w:rsidR="00171114" w:rsidRDefault="00171114">
      <w:pPr>
        <w:spacing w:after="20"/>
        <w:rPr>
          <w:rFonts w:hint="eastAsia"/>
        </w:rPr>
      </w:pPr>
    </w:p>
    <w:p w14:paraId="1CCBFE8E" w14:textId="77777777" w:rsidR="00171114" w:rsidRDefault="00000000">
      <w:pPr>
        <w:pStyle w:val="Heading2"/>
        <w:pageBreakBefore/>
      </w:pPr>
      <w:r>
        <w:rPr>
          <w:rFonts w:ascii="DejaVu Sans" w:hAnsi="DejaVu Sans"/>
        </w:rPr>
        <w:lastRenderedPageBreak/>
        <w:t>Population completeness</w:t>
      </w:r>
    </w:p>
    <w:p w14:paraId="58F1512C" w14:textId="77777777" w:rsidR="00171114" w:rsidRDefault="00000000">
      <w:pPr>
        <w:rPr>
          <w:rFonts w:hint="eastAsia"/>
        </w:rPr>
      </w:pPr>
      <w:r>
        <w:t>The auditor will need confidence that the Senteon population represents the endpoints in scope. Reconcile Senteon against the authoritative device inventory or endpoint management platform. Investigate devices that are missing, uninstalled, disabled, unsupported, stale, or offline. Retain the reconciliation and the disposition of differences.</w:t>
      </w:r>
    </w:p>
    <w:p w14:paraId="3CC3D8AE" w14:textId="77777777" w:rsidR="00171114" w:rsidRDefault="00000000">
      <w:pPr>
        <w:pStyle w:val="Heading2"/>
      </w:pPr>
      <w:r>
        <w:rPr>
          <w:rFonts w:ascii="DejaVu Sans" w:hAnsi="DejaVu Sans"/>
        </w:rPr>
        <w:t>Period coverage</w:t>
      </w:r>
    </w:p>
    <w:p w14:paraId="405C60EE" w14:textId="77777777" w:rsidR="00171114" w:rsidRDefault="00000000">
      <w:pPr>
        <w:rPr>
          <w:rFonts w:hint="eastAsia"/>
        </w:rPr>
      </w:pPr>
      <w:r>
        <w:t>Retain recurring exports or reports throughout the examination period. Use setting history and event records to demonstrate changes between reporting dates. If the organization relies on automated remediation, sample drift events and show the time from detection to realignment. If remediation is manual, retain the associated ticket and closure evidence.</w:t>
      </w:r>
    </w:p>
    <w:p w14:paraId="32FF5C82" w14:textId="77777777" w:rsidR="00171114" w:rsidRDefault="00000000">
      <w:pPr>
        <w:pStyle w:val="Heading2"/>
      </w:pPr>
      <w:r>
        <w:rPr>
          <w:rFonts w:ascii="DejaVu Sans" w:hAnsi="DejaVu Sans"/>
        </w:rPr>
        <w:t>Exception governance</w:t>
      </w:r>
    </w:p>
    <w:p w14:paraId="098CBD19" w14:textId="77777777" w:rsidR="00171114" w:rsidRDefault="00000000">
      <w:pPr>
        <w:rPr>
          <w:rFonts w:hint="eastAsia"/>
        </w:rPr>
      </w:pPr>
      <w:r>
        <w:t>An exception is not a control failure when it is approved, justified, time-bound where appropriate, assigned to the correct population, and periodically reviewed. Senteon's baseline and exception groups, together with decision annotations, can make those decisions visible. The organization should link higher-risk exceptions to a formal risk acceptance or change record.</w:t>
      </w:r>
    </w:p>
    <w:p w14:paraId="773F21B3" w14:textId="77777777" w:rsidR="00171114" w:rsidRDefault="00000000">
      <w:pPr>
        <w:pStyle w:val="Heading1"/>
      </w:pPr>
      <w:r>
        <w:rPr>
          <w:rFonts w:ascii="DejaVu Sans" w:hAnsi="DejaVu Sans"/>
          <w:color w:val="FAAB17"/>
        </w:rPr>
        <w:t xml:space="preserve">6  </w:t>
      </w:r>
      <w:r>
        <w:rPr>
          <w:rFonts w:ascii="DejaVu Sans" w:hAnsi="DejaVu Sans"/>
        </w:rPr>
        <w:t>Control Statements and Audit Procedures</w:t>
      </w:r>
    </w:p>
    <w:p w14:paraId="4BFCC404" w14:textId="77777777" w:rsidR="00171114" w:rsidRDefault="00000000">
      <w:pPr>
        <w:rPr>
          <w:rFonts w:hint="eastAsia"/>
        </w:rPr>
      </w:pPr>
      <w:r>
        <w:t>The following controls are intentionally broad enough to avoid a fragmented control inventory while remaining specific enough to test. Organizations should adapt the owner, frequency, population, and evidence to their operating model.</w:t>
      </w:r>
    </w:p>
    <w:tbl>
      <w:tblPr>
        <w:tblW w:w="0" w:type="auto"/>
        <w:jc w:val="center"/>
        <w:tblLayout w:type="fixed"/>
        <w:tblLook w:val="04A0" w:firstRow="1" w:lastRow="0" w:firstColumn="1" w:lastColumn="0" w:noHBand="0" w:noVBand="1"/>
      </w:tblPr>
      <w:tblGrid>
        <w:gridCol w:w="936"/>
        <w:gridCol w:w="5903"/>
        <w:gridCol w:w="1296"/>
        <w:gridCol w:w="1512"/>
      </w:tblGrid>
      <w:tr w:rsidR="00171114" w14:paraId="495455BF" w14:textId="77777777">
        <w:trPr>
          <w:tblHeader/>
          <w:jc w:val="center"/>
        </w:trPr>
        <w:tc>
          <w:tcPr>
            <w:tcW w:w="936" w:type="dxa"/>
            <w:tcBorders>
              <w:top w:val="single" w:sz="6" w:space="0" w:color="D9D9D9"/>
              <w:left w:val="single" w:sz="6" w:space="0" w:color="D9D9D9"/>
              <w:bottom w:val="single" w:sz="6" w:space="0" w:color="D9D9D9"/>
              <w:right w:val="single" w:sz="6" w:space="0" w:color="D9D9D9"/>
            </w:tcBorders>
            <w:shd w:val="clear" w:color="auto" w:fill="171717"/>
            <w:tcMar>
              <w:top w:w="115" w:type="dxa"/>
              <w:left w:w="110" w:type="dxa"/>
              <w:bottom w:w="115" w:type="dxa"/>
              <w:right w:w="110" w:type="dxa"/>
            </w:tcMar>
            <w:vAlign w:val="center"/>
          </w:tcPr>
          <w:p w14:paraId="3AF8AE30" w14:textId="77777777" w:rsidR="00171114" w:rsidRDefault="00000000">
            <w:pPr>
              <w:spacing w:after="0"/>
              <w:jc w:val="center"/>
              <w:rPr>
                <w:rFonts w:hint="eastAsia"/>
              </w:rPr>
            </w:pPr>
            <w:r>
              <w:rPr>
                <w:b/>
                <w:color w:val="FFFFFF"/>
                <w:sz w:val="15"/>
              </w:rPr>
              <w:t>Control</w:t>
            </w:r>
          </w:p>
        </w:tc>
        <w:tc>
          <w:tcPr>
            <w:tcW w:w="5903" w:type="dxa"/>
            <w:tcBorders>
              <w:top w:val="single" w:sz="6" w:space="0" w:color="D9D9D9"/>
              <w:left w:val="single" w:sz="6" w:space="0" w:color="D9D9D9"/>
              <w:bottom w:val="single" w:sz="6" w:space="0" w:color="D9D9D9"/>
              <w:right w:val="single" w:sz="6" w:space="0" w:color="D9D9D9"/>
            </w:tcBorders>
            <w:shd w:val="clear" w:color="auto" w:fill="171717"/>
            <w:tcMar>
              <w:top w:w="115" w:type="dxa"/>
              <w:left w:w="110" w:type="dxa"/>
              <w:bottom w:w="115" w:type="dxa"/>
              <w:right w:w="110" w:type="dxa"/>
            </w:tcMar>
            <w:vAlign w:val="center"/>
          </w:tcPr>
          <w:p w14:paraId="713F2E04" w14:textId="77777777" w:rsidR="00171114" w:rsidRDefault="00000000">
            <w:pPr>
              <w:spacing w:after="0"/>
              <w:rPr>
                <w:rFonts w:hint="eastAsia"/>
              </w:rPr>
            </w:pPr>
            <w:r>
              <w:rPr>
                <w:b/>
                <w:color w:val="FFFFFF"/>
                <w:sz w:val="15"/>
              </w:rPr>
              <w:t>Control statement</w:t>
            </w:r>
          </w:p>
        </w:tc>
        <w:tc>
          <w:tcPr>
            <w:tcW w:w="1296" w:type="dxa"/>
            <w:tcBorders>
              <w:top w:val="single" w:sz="6" w:space="0" w:color="D9D9D9"/>
              <w:left w:val="single" w:sz="6" w:space="0" w:color="D9D9D9"/>
              <w:bottom w:val="single" w:sz="6" w:space="0" w:color="D9D9D9"/>
              <w:right w:val="single" w:sz="6" w:space="0" w:color="D9D9D9"/>
            </w:tcBorders>
            <w:shd w:val="clear" w:color="auto" w:fill="171717"/>
            <w:tcMar>
              <w:top w:w="115" w:type="dxa"/>
              <w:left w:w="110" w:type="dxa"/>
              <w:bottom w:w="115" w:type="dxa"/>
              <w:right w:w="110" w:type="dxa"/>
            </w:tcMar>
            <w:vAlign w:val="center"/>
          </w:tcPr>
          <w:p w14:paraId="1FD553B4" w14:textId="77777777" w:rsidR="00171114" w:rsidRDefault="00000000">
            <w:pPr>
              <w:spacing w:after="0"/>
              <w:rPr>
                <w:rFonts w:hint="eastAsia"/>
              </w:rPr>
            </w:pPr>
            <w:r>
              <w:rPr>
                <w:b/>
                <w:color w:val="FFFFFF"/>
                <w:sz w:val="15"/>
              </w:rPr>
              <w:t>Primary TSC</w:t>
            </w:r>
          </w:p>
        </w:tc>
        <w:tc>
          <w:tcPr>
            <w:tcW w:w="1512" w:type="dxa"/>
            <w:tcBorders>
              <w:top w:val="single" w:sz="6" w:space="0" w:color="D9D9D9"/>
              <w:left w:val="single" w:sz="6" w:space="0" w:color="D9D9D9"/>
              <w:bottom w:val="single" w:sz="6" w:space="0" w:color="D9D9D9"/>
              <w:right w:val="single" w:sz="6" w:space="0" w:color="D9D9D9"/>
            </w:tcBorders>
            <w:shd w:val="clear" w:color="auto" w:fill="171717"/>
            <w:tcMar>
              <w:top w:w="115" w:type="dxa"/>
              <w:left w:w="110" w:type="dxa"/>
              <w:bottom w:w="115" w:type="dxa"/>
              <w:right w:w="110" w:type="dxa"/>
            </w:tcMar>
            <w:vAlign w:val="center"/>
          </w:tcPr>
          <w:p w14:paraId="55F8EACB" w14:textId="77777777" w:rsidR="00171114" w:rsidRDefault="00000000">
            <w:pPr>
              <w:spacing w:after="0"/>
              <w:rPr>
                <w:rFonts w:hint="eastAsia"/>
              </w:rPr>
            </w:pPr>
            <w:r>
              <w:rPr>
                <w:b/>
                <w:color w:val="FFFFFF"/>
                <w:sz w:val="15"/>
              </w:rPr>
              <w:t>Typical owner</w:t>
            </w:r>
          </w:p>
        </w:tc>
      </w:tr>
      <w:tr w:rsidR="00171114" w14:paraId="5667C830" w14:textId="77777777">
        <w:trPr>
          <w:jc w:val="center"/>
        </w:trPr>
        <w:tc>
          <w:tcPr>
            <w:tcW w:w="936" w:type="dxa"/>
            <w:tcBorders>
              <w:top w:val="single" w:sz="6" w:space="0" w:color="D9D9D9"/>
              <w:left w:val="single" w:sz="6" w:space="0" w:color="D9D9D9"/>
              <w:bottom w:val="single" w:sz="6" w:space="0" w:color="D9D9D9"/>
              <w:right w:val="single" w:sz="6" w:space="0" w:color="D9D9D9"/>
            </w:tcBorders>
            <w:shd w:val="clear" w:color="auto" w:fill="FFFFFF"/>
            <w:tcMar>
              <w:top w:w="100" w:type="dxa"/>
              <w:left w:w="105" w:type="dxa"/>
              <w:bottom w:w="100" w:type="dxa"/>
              <w:right w:w="105" w:type="dxa"/>
            </w:tcMar>
            <w:vAlign w:val="center"/>
          </w:tcPr>
          <w:p w14:paraId="436A5EB9" w14:textId="77777777" w:rsidR="00171114" w:rsidRDefault="00000000">
            <w:pPr>
              <w:spacing w:after="0" w:line="252" w:lineRule="auto"/>
              <w:jc w:val="center"/>
              <w:rPr>
                <w:rFonts w:hint="eastAsia"/>
              </w:rPr>
            </w:pPr>
            <w:r>
              <w:rPr>
                <w:sz w:val="15"/>
              </w:rPr>
              <w:t>EP 01</w:t>
            </w:r>
          </w:p>
        </w:tc>
        <w:tc>
          <w:tcPr>
            <w:tcW w:w="5903" w:type="dxa"/>
            <w:tcBorders>
              <w:top w:val="single" w:sz="6" w:space="0" w:color="D9D9D9"/>
              <w:left w:val="single" w:sz="6" w:space="0" w:color="D9D9D9"/>
              <w:bottom w:val="single" w:sz="6" w:space="0" w:color="D9D9D9"/>
              <w:right w:val="single" w:sz="6" w:space="0" w:color="D9D9D9"/>
            </w:tcBorders>
            <w:shd w:val="clear" w:color="auto" w:fill="FFFFFF"/>
            <w:tcMar>
              <w:top w:w="100" w:type="dxa"/>
              <w:left w:w="105" w:type="dxa"/>
              <w:bottom w:w="100" w:type="dxa"/>
              <w:right w:w="105" w:type="dxa"/>
            </w:tcMar>
            <w:vAlign w:val="center"/>
          </w:tcPr>
          <w:p w14:paraId="62C0ACFB" w14:textId="77777777" w:rsidR="00171114" w:rsidRDefault="00000000">
            <w:pPr>
              <w:spacing w:after="0" w:line="252" w:lineRule="auto"/>
              <w:rPr>
                <w:rFonts w:hint="eastAsia"/>
              </w:rPr>
            </w:pPr>
            <w:r>
              <w:rPr>
                <w:sz w:val="15"/>
              </w:rPr>
              <w:t>Company-managed endpoints are configured in accordance with approved security configuration standards. Target configurations are centrally defined and applied by endpoint profile.</w:t>
            </w:r>
          </w:p>
        </w:tc>
        <w:tc>
          <w:tcPr>
            <w:tcW w:w="1296" w:type="dxa"/>
            <w:tcBorders>
              <w:top w:val="single" w:sz="6" w:space="0" w:color="D9D9D9"/>
              <w:left w:val="single" w:sz="6" w:space="0" w:color="D9D9D9"/>
              <w:bottom w:val="single" w:sz="6" w:space="0" w:color="D9D9D9"/>
              <w:right w:val="single" w:sz="6" w:space="0" w:color="D9D9D9"/>
            </w:tcBorders>
            <w:shd w:val="clear" w:color="auto" w:fill="FFFFFF"/>
            <w:tcMar>
              <w:top w:w="100" w:type="dxa"/>
              <w:left w:w="105" w:type="dxa"/>
              <w:bottom w:w="100" w:type="dxa"/>
              <w:right w:w="105" w:type="dxa"/>
            </w:tcMar>
            <w:vAlign w:val="center"/>
          </w:tcPr>
          <w:p w14:paraId="14B907DB" w14:textId="77777777" w:rsidR="00171114" w:rsidRDefault="00000000">
            <w:pPr>
              <w:spacing w:after="0" w:line="252" w:lineRule="auto"/>
              <w:rPr>
                <w:rFonts w:hint="eastAsia"/>
              </w:rPr>
            </w:pPr>
            <w:r>
              <w:rPr>
                <w:sz w:val="15"/>
              </w:rPr>
              <w:t>CC6.1 CC7.1</w:t>
            </w:r>
          </w:p>
        </w:tc>
        <w:tc>
          <w:tcPr>
            <w:tcW w:w="1512" w:type="dxa"/>
            <w:tcBorders>
              <w:top w:val="single" w:sz="6" w:space="0" w:color="D9D9D9"/>
              <w:left w:val="single" w:sz="6" w:space="0" w:color="D9D9D9"/>
              <w:bottom w:val="single" w:sz="6" w:space="0" w:color="D9D9D9"/>
              <w:right w:val="single" w:sz="6" w:space="0" w:color="D9D9D9"/>
            </w:tcBorders>
            <w:shd w:val="clear" w:color="auto" w:fill="FFFFFF"/>
            <w:tcMar>
              <w:top w:w="100" w:type="dxa"/>
              <w:left w:w="105" w:type="dxa"/>
              <w:bottom w:w="100" w:type="dxa"/>
              <w:right w:w="105" w:type="dxa"/>
            </w:tcMar>
            <w:vAlign w:val="center"/>
          </w:tcPr>
          <w:p w14:paraId="196F1AE7" w14:textId="77777777" w:rsidR="00171114" w:rsidRDefault="00000000">
            <w:pPr>
              <w:spacing w:after="0" w:line="252" w:lineRule="auto"/>
              <w:rPr>
                <w:rFonts w:hint="eastAsia"/>
              </w:rPr>
            </w:pPr>
            <w:r>
              <w:rPr>
                <w:sz w:val="15"/>
              </w:rPr>
              <w:t>Endpoint Security</w:t>
            </w:r>
          </w:p>
        </w:tc>
      </w:tr>
      <w:tr w:rsidR="00171114" w14:paraId="1C20BF86" w14:textId="77777777">
        <w:trPr>
          <w:jc w:val="center"/>
        </w:trPr>
        <w:tc>
          <w:tcPr>
            <w:tcW w:w="936" w:type="dxa"/>
            <w:tcBorders>
              <w:top w:val="single" w:sz="6" w:space="0" w:color="D9D9D9"/>
              <w:left w:val="single" w:sz="6" w:space="0" w:color="D9D9D9"/>
              <w:bottom w:val="single" w:sz="6" w:space="0" w:color="D9D9D9"/>
              <w:right w:val="single" w:sz="6" w:space="0" w:color="D9D9D9"/>
            </w:tcBorders>
            <w:shd w:val="clear" w:color="auto" w:fill="FFF8DB"/>
            <w:tcMar>
              <w:top w:w="100" w:type="dxa"/>
              <w:left w:w="105" w:type="dxa"/>
              <w:bottom w:w="100" w:type="dxa"/>
              <w:right w:w="105" w:type="dxa"/>
            </w:tcMar>
            <w:vAlign w:val="center"/>
          </w:tcPr>
          <w:p w14:paraId="6677C316" w14:textId="77777777" w:rsidR="00171114" w:rsidRDefault="00000000">
            <w:pPr>
              <w:spacing w:after="0" w:line="252" w:lineRule="auto"/>
              <w:jc w:val="center"/>
              <w:rPr>
                <w:rFonts w:hint="eastAsia"/>
              </w:rPr>
            </w:pPr>
            <w:r>
              <w:rPr>
                <w:sz w:val="15"/>
              </w:rPr>
              <w:t>EP 02</w:t>
            </w:r>
          </w:p>
        </w:tc>
        <w:tc>
          <w:tcPr>
            <w:tcW w:w="5903" w:type="dxa"/>
            <w:tcBorders>
              <w:top w:val="single" w:sz="6" w:space="0" w:color="D9D9D9"/>
              <w:left w:val="single" w:sz="6" w:space="0" w:color="D9D9D9"/>
              <w:bottom w:val="single" w:sz="6" w:space="0" w:color="D9D9D9"/>
              <w:right w:val="single" w:sz="6" w:space="0" w:color="D9D9D9"/>
            </w:tcBorders>
            <w:shd w:val="clear" w:color="auto" w:fill="FFF8DB"/>
            <w:tcMar>
              <w:top w:w="100" w:type="dxa"/>
              <w:left w:w="105" w:type="dxa"/>
              <w:bottom w:w="100" w:type="dxa"/>
              <w:right w:w="105" w:type="dxa"/>
            </w:tcMar>
            <w:vAlign w:val="center"/>
          </w:tcPr>
          <w:p w14:paraId="1B84012E" w14:textId="77777777" w:rsidR="00171114" w:rsidRDefault="00000000">
            <w:pPr>
              <w:spacing w:after="0" w:line="252" w:lineRule="auto"/>
              <w:rPr>
                <w:rFonts w:hint="eastAsia"/>
              </w:rPr>
            </w:pPr>
            <w:r>
              <w:rPr>
                <w:sz w:val="15"/>
              </w:rPr>
              <w:t>Endpoint security configurations are continuously monitored. Deviations from approved target values are identified and automatically remediated or tracked through documented corrective action.</w:t>
            </w:r>
          </w:p>
        </w:tc>
        <w:tc>
          <w:tcPr>
            <w:tcW w:w="1296" w:type="dxa"/>
            <w:tcBorders>
              <w:top w:val="single" w:sz="6" w:space="0" w:color="D9D9D9"/>
              <w:left w:val="single" w:sz="6" w:space="0" w:color="D9D9D9"/>
              <w:bottom w:val="single" w:sz="6" w:space="0" w:color="D9D9D9"/>
              <w:right w:val="single" w:sz="6" w:space="0" w:color="D9D9D9"/>
            </w:tcBorders>
            <w:shd w:val="clear" w:color="auto" w:fill="FFF8DB"/>
            <w:tcMar>
              <w:top w:w="100" w:type="dxa"/>
              <w:left w:w="105" w:type="dxa"/>
              <w:bottom w:w="100" w:type="dxa"/>
              <w:right w:w="105" w:type="dxa"/>
            </w:tcMar>
            <w:vAlign w:val="center"/>
          </w:tcPr>
          <w:p w14:paraId="322E018D" w14:textId="77777777" w:rsidR="00171114" w:rsidRDefault="00000000">
            <w:pPr>
              <w:spacing w:after="0" w:line="252" w:lineRule="auto"/>
              <w:rPr>
                <w:rFonts w:hint="eastAsia"/>
              </w:rPr>
            </w:pPr>
            <w:r>
              <w:rPr>
                <w:sz w:val="15"/>
              </w:rPr>
              <w:t>CC7.1 CC7.2</w:t>
            </w:r>
          </w:p>
        </w:tc>
        <w:tc>
          <w:tcPr>
            <w:tcW w:w="1512" w:type="dxa"/>
            <w:tcBorders>
              <w:top w:val="single" w:sz="6" w:space="0" w:color="D9D9D9"/>
              <w:left w:val="single" w:sz="6" w:space="0" w:color="D9D9D9"/>
              <w:bottom w:val="single" w:sz="6" w:space="0" w:color="D9D9D9"/>
              <w:right w:val="single" w:sz="6" w:space="0" w:color="D9D9D9"/>
            </w:tcBorders>
            <w:shd w:val="clear" w:color="auto" w:fill="FFF8DB"/>
            <w:tcMar>
              <w:top w:w="100" w:type="dxa"/>
              <w:left w:w="105" w:type="dxa"/>
              <w:bottom w:w="100" w:type="dxa"/>
              <w:right w:w="105" w:type="dxa"/>
            </w:tcMar>
            <w:vAlign w:val="center"/>
          </w:tcPr>
          <w:p w14:paraId="29FE4EC6" w14:textId="77777777" w:rsidR="00171114" w:rsidRDefault="00000000">
            <w:pPr>
              <w:spacing w:after="0" w:line="252" w:lineRule="auto"/>
              <w:rPr>
                <w:rFonts w:hint="eastAsia"/>
              </w:rPr>
            </w:pPr>
            <w:r>
              <w:rPr>
                <w:sz w:val="15"/>
              </w:rPr>
              <w:t>Security Operations</w:t>
            </w:r>
          </w:p>
        </w:tc>
      </w:tr>
      <w:tr w:rsidR="00171114" w14:paraId="4F798EA8" w14:textId="77777777">
        <w:trPr>
          <w:jc w:val="center"/>
        </w:trPr>
        <w:tc>
          <w:tcPr>
            <w:tcW w:w="936" w:type="dxa"/>
            <w:tcBorders>
              <w:top w:val="single" w:sz="6" w:space="0" w:color="D9D9D9"/>
              <w:left w:val="single" w:sz="6" w:space="0" w:color="D9D9D9"/>
              <w:bottom w:val="single" w:sz="6" w:space="0" w:color="D9D9D9"/>
              <w:right w:val="single" w:sz="6" w:space="0" w:color="D9D9D9"/>
            </w:tcBorders>
            <w:shd w:val="clear" w:color="auto" w:fill="FFFFFF"/>
            <w:tcMar>
              <w:top w:w="100" w:type="dxa"/>
              <w:left w:w="105" w:type="dxa"/>
              <w:bottom w:w="100" w:type="dxa"/>
              <w:right w:w="105" w:type="dxa"/>
            </w:tcMar>
            <w:vAlign w:val="center"/>
          </w:tcPr>
          <w:p w14:paraId="2F6036FF" w14:textId="77777777" w:rsidR="00171114" w:rsidRDefault="00000000">
            <w:pPr>
              <w:spacing w:after="0" w:line="252" w:lineRule="auto"/>
              <w:jc w:val="center"/>
              <w:rPr>
                <w:rFonts w:hint="eastAsia"/>
              </w:rPr>
            </w:pPr>
            <w:r>
              <w:rPr>
                <w:sz w:val="15"/>
              </w:rPr>
              <w:t>EP 03</w:t>
            </w:r>
          </w:p>
        </w:tc>
        <w:tc>
          <w:tcPr>
            <w:tcW w:w="5903" w:type="dxa"/>
            <w:tcBorders>
              <w:top w:val="single" w:sz="6" w:space="0" w:color="D9D9D9"/>
              <w:left w:val="single" w:sz="6" w:space="0" w:color="D9D9D9"/>
              <w:bottom w:val="single" w:sz="6" w:space="0" w:color="D9D9D9"/>
              <w:right w:val="single" w:sz="6" w:space="0" w:color="D9D9D9"/>
            </w:tcBorders>
            <w:shd w:val="clear" w:color="auto" w:fill="FFFFFF"/>
            <w:tcMar>
              <w:top w:w="100" w:type="dxa"/>
              <w:left w:w="105" w:type="dxa"/>
              <w:bottom w:w="100" w:type="dxa"/>
              <w:right w:w="105" w:type="dxa"/>
            </w:tcMar>
            <w:vAlign w:val="center"/>
          </w:tcPr>
          <w:p w14:paraId="192A9AC6" w14:textId="77777777" w:rsidR="00171114" w:rsidRDefault="00000000">
            <w:pPr>
              <w:spacing w:after="0" w:line="252" w:lineRule="auto"/>
              <w:rPr>
                <w:rFonts w:hint="eastAsia"/>
              </w:rPr>
            </w:pPr>
            <w:r>
              <w:rPr>
                <w:sz w:val="15"/>
              </w:rPr>
              <w:t>Host firewall, remote-access, file-sharing, network protocol, antimalware, and unnecessary-service settings are centrally enforced on company-managed endpoints.</w:t>
            </w:r>
          </w:p>
        </w:tc>
        <w:tc>
          <w:tcPr>
            <w:tcW w:w="1296" w:type="dxa"/>
            <w:tcBorders>
              <w:top w:val="single" w:sz="6" w:space="0" w:color="D9D9D9"/>
              <w:left w:val="single" w:sz="6" w:space="0" w:color="D9D9D9"/>
              <w:bottom w:val="single" w:sz="6" w:space="0" w:color="D9D9D9"/>
              <w:right w:val="single" w:sz="6" w:space="0" w:color="D9D9D9"/>
            </w:tcBorders>
            <w:shd w:val="clear" w:color="auto" w:fill="FFFFFF"/>
            <w:tcMar>
              <w:top w:w="100" w:type="dxa"/>
              <w:left w:w="105" w:type="dxa"/>
              <w:bottom w:w="100" w:type="dxa"/>
              <w:right w:w="105" w:type="dxa"/>
            </w:tcMar>
            <w:vAlign w:val="center"/>
          </w:tcPr>
          <w:p w14:paraId="12805202" w14:textId="77777777" w:rsidR="00171114" w:rsidRDefault="00000000">
            <w:pPr>
              <w:spacing w:after="0" w:line="252" w:lineRule="auto"/>
              <w:rPr>
                <w:rFonts w:hint="eastAsia"/>
              </w:rPr>
            </w:pPr>
            <w:r>
              <w:rPr>
                <w:sz w:val="15"/>
              </w:rPr>
              <w:t>CC6.6 CC6.8</w:t>
            </w:r>
          </w:p>
        </w:tc>
        <w:tc>
          <w:tcPr>
            <w:tcW w:w="1512" w:type="dxa"/>
            <w:tcBorders>
              <w:top w:val="single" w:sz="6" w:space="0" w:color="D9D9D9"/>
              <w:left w:val="single" w:sz="6" w:space="0" w:color="D9D9D9"/>
              <w:bottom w:val="single" w:sz="6" w:space="0" w:color="D9D9D9"/>
              <w:right w:val="single" w:sz="6" w:space="0" w:color="D9D9D9"/>
            </w:tcBorders>
            <w:shd w:val="clear" w:color="auto" w:fill="FFFFFF"/>
            <w:tcMar>
              <w:top w:w="100" w:type="dxa"/>
              <w:left w:w="105" w:type="dxa"/>
              <w:bottom w:w="100" w:type="dxa"/>
              <w:right w:w="105" w:type="dxa"/>
            </w:tcMar>
            <w:vAlign w:val="center"/>
          </w:tcPr>
          <w:p w14:paraId="5FD6D36B" w14:textId="77777777" w:rsidR="00171114" w:rsidRDefault="00000000">
            <w:pPr>
              <w:spacing w:after="0" w:line="252" w:lineRule="auto"/>
              <w:rPr>
                <w:rFonts w:hint="eastAsia"/>
              </w:rPr>
            </w:pPr>
            <w:r>
              <w:rPr>
                <w:sz w:val="15"/>
              </w:rPr>
              <w:t>Endpoint Security</w:t>
            </w:r>
          </w:p>
        </w:tc>
      </w:tr>
      <w:tr w:rsidR="00171114" w14:paraId="2C135A53" w14:textId="77777777">
        <w:trPr>
          <w:jc w:val="center"/>
        </w:trPr>
        <w:tc>
          <w:tcPr>
            <w:tcW w:w="936" w:type="dxa"/>
            <w:tcBorders>
              <w:top w:val="single" w:sz="6" w:space="0" w:color="D9D9D9"/>
              <w:left w:val="single" w:sz="6" w:space="0" w:color="D9D9D9"/>
              <w:bottom w:val="single" w:sz="6" w:space="0" w:color="D9D9D9"/>
              <w:right w:val="single" w:sz="6" w:space="0" w:color="D9D9D9"/>
            </w:tcBorders>
            <w:shd w:val="clear" w:color="auto" w:fill="FFF8DB"/>
            <w:tcMar>
              <w:top w:w="100" w:type="dxa"/>
              <w:left w:w="105" w:type="dxa"/>
              <w:bottom w:w="100" w:type="dxa"/>
              <w:right w:w="105" w:type="dxa"/>
            </w:tcMar>
            <w:vAlign w:val="center"/>
          </w:tcPr>
          <w:p w14:paraId="05629442" w14:textId="77777777" w:rsidR="00171114" w:rsidRDefault="00000000">
            <w:pPr>
              <w:spacing w:after="0" w:line="252" w:lineRule="auto"/>
              <w:jc w:val="center"/>
              <w:rPr>
                <w:rFonts w:hint="eastAsia"/>
              </w:rPr>
            </w:pPr>
            <w:r>
              <w:rPr>
                <w:sz w:val="15"/>
              </w:rPr>
              <w:t>EP 04</w:t>
            </w:r>
          </w:p>
        </w:tc>
        <w:tc>
          <w:tcPr>
            <w:tcW w:w="5903" w:type="dxa"/>
            <w:tcBorders>
              <w:top w:val="single" w:sz="6" w:space="0" w:color="D9D9D9"/>
              <w:left w:val="single" w:sz="6" w:space="0" w:color="D9D9D9"/>
              <w:bottom w:val="single" w:sz="6" w:space="0" w:color="D9D9D9"/>
              <w:right w:val="single" w:sz="6" w:space="0" w:color="D9D9D9"/>
            </w:tcBorders>
            <w:shd w:val="clear" w:color="auto" w:fill="FFF8DB"/>
            <w:tcMar>
              <w:top w:w="100" w:type="dxa"/>
              <w:left w:w="105" w:type="dxa"/>
              <w:bottom w:w="100" w:type="dxa"/>
              <w:right w:w="105" w:type="dxa"/>
            </w:tcMar>
            <w:vAlign w:val="center"/>
          </w:tcPr>
          <w:p w14:paraId="31DE578F" w14:textId="77777777" w:rsidR="00171114" w:rsidRDefault="00000000">
            <w:pPr>
              <w:spacing w:after="0" w:line="252" w:lineRule="auto"/>
              <w:rPr>
                <w:rFonts w:hint="eastAsia"/>
              </w:rPr>
            </w:pPr>
            <w:r>
              <w:rPr>
                <w:sz w:val="15"/>
              </w:rPr>
              <w:t>Changes and exceptions to approved endpoint security baselines are documented, authorized, and periodically reviewed. Unauthorized deviations are detected and corrected.</w:t>
            </w:r>
          </w:p>
        </w:tc>
        <w:tc>
          <w:tcPr>
            <w:tcW w:w="1296" w:type="dxa"/>
            <w:tcBorders>
              <w:top w:val="single" w:sz="6" w:space="0" w:color="D9D9D9"/>
              <w:left w:val="single" w:sz="6" w:space="0" w:color="D9D9D9"/>
              <w:bottom w:val="single" w:sz="6" w:space="0" w:color="D9D9D9"/>
              <w:right w:val="single" w:sz="6" w:space="0" w:color="D9D9D9"/>
            </w:tcBorders>
            <w:shd w:val="clear" w:color="auto" w:fill="FFF8DB"/>
            <w:tcMar>
              <w:top w:w="100" w:type="dxa"/>
              <w:left w:w="105" w:type="dxa"/>
              <w:bottom w:w="100" w:type="dxa"/>
              <w:right w:w="105" w:type="dxa"/>
            </w:tcMar>
            <w:vAlign w:val="center"/>
          </w:tcPr>
          <w:p w14:paraId="39D1C98A" w14:textId="77777777" w:rsidR="00171114" w:rsidRDefault="00000000">
            <w:pPr>
              <w:spacing w:after="0" w:line="252" w:lineRule="auto"/>
              <w:rPr>
                <w:rFonts w:hint="eastAsia"/>
              </w:rPr>
            </w:pPr>
            <w:r>
              <w:rPr>
                <w:sz w:val="15"/>
              </w:rPr>
              <w:t>CC8.1 CC7.1</w:t>
            </w:r>
          </w:p>
        </w:tc>
        <w:tc>
          <w:tcPr>
            <w:tcW w:w="1512" w:type="dxa"/>
            <w:tcBorders>
              <w:top w:val="single" w:sz="6" w:space="0" w:color="D9D9D9"/>
              <w:left w:val="single" w:sz="6" w:space="0" w:color="D9D9D9"/>
              <w:bottom w:val="single" w:sz="6" w:space="0" w:color="D9D9D9"/>
              <w:right w:val="single" w:sz="6" w:space="0" w:color="D9D9D9"/>
            </w:tcBorders>
            <w:shd w:val="clear" w:color="auto" w:fill="FFF8DB"/>
            <w:tcMar>
              <w:top w:w="100" w:type="dxa"/>
              <w:left w:w="105" w:type="dxa"/>
              <w:bottom w:w="100" w:type="dxa"/>
              <w:right w:w="105" w:type="dxa"/>
            </w:tcMar>
            <w:vAlign w:val="center"/>
          </w:tcPr>
          <w:p w14:paraId="402D7CA3" w14:textId="77777777" w:rsidR="00171114" w:rsidRDefault="00000000">
            <w:pPr>
              <w:spacing w:after="0" w:line="252" w:lineRule="auto"/>
              <w:rPr>
                <w:rFonts w:hint="eastAsia"/>
              </w:rPr>
            </w:pPr>
            <w:r>
              <w:rPr>
                <w:sz w:val="15"/>
              </w:rPr>
              <w:t>IT Change Owner</w:t>
            </w:r>
          </w:p>
        </w:tc>
      </w:tr>
    </w:tbl>
    <w:p w14:paraId="7D7CE536" w14:textId="77777777" w:rsidR="00171114" w:rsidRDefault="00171114">
      <w:pPr>
        <w:spacing w:after="20"/>
        <w:rPr>
          <w:rFonts w:hint="eastAsia"/>
        </w:rPr>
      </w:pPr>
    </w:p>
    <w:p w14:paraId="3B723843" w14:textId="77777777" w:rsidR="00171114" w:rsidRDefault="00000000">
      <w:pPr>
        <w:pStyle w:val="Heading2"/>
      </w:pPr>
      <w:r>
        <w:rPr>
          <w:rFonts w:ascii="DejaVu Sans" w:hAnsi="DejaVu Sans"/>
        </w:rPr>
        <w:t>Recommended test procedures</w:t>
      </w:r>
    </w:p>
    <w:p w14:paraId="27E52EB2" w14:textId="77777777" w:rsidR="00171114" w:rsidRDefault="00000000">
      <w:pPr>
        <w:spacing w:after="80"/>
        <w:ind w:left="403" w:hanging="230"/>
        <w:rPr>
          <w:rFonts w:hint="eastAsia"/>
        </w:rPr>
      </w:pPr>
      <w:r>
        <w:t>1.  Inspect the approved baseline and verify that it addresses the organization's endpoint risks and supported profiles.</w:t>
      </w:r>
    </w:p>
    <w:p w14:paraId="1E3D19AA" w14:textId="77777777" w:rsidR="00171114" w:rsidRDefault="00000000">
      <w:pPr>
        <w:spacing w:after="80"/>
        <w:ind w:left="403" w:hanging="230"/>
        <w:rPr>
          <w:rFonts w:hint="eastAsia"/>
        </w:rPr>
      </w:pPr>
      <w:r>
        <w:t>2.  Reconcile the Senteon endpoint population to the authoritative inventory and investigate differences.</w:t>
      </w:r>
    </w:p>
    <w:p w14:paraId="290E4EAC" w14:textId="77777777" w:rsidR="00171114" w:rsidRDefault="00000000">
      <w:pPr>
        <w:spacing w:after="80"/>
        <w:ind w:left="403" w:hanging="230"/>
        <w:rPr>
          <w:rFonts w:hint="eastAsia"/>
        </w:rPr>
      </w:pPr>
      <w:r>
        <w:t>3.  Select samples across the examination period and verify that agents were active and endpoints were assigned to an approved baseline or exception group.</w:t>
      </w:r>
    </w:p>
    <w:p w14:paraId="24ECF401" w14:textId="77777777" w:rsidR="00171114" w:rsidRDefault="00000000">
      <w:pPr>
        <w:spacing w:after="80"/>
        <w:ind w:left="403" w:hanging="230"/>
        <w:rPr>
          <w:rFonts w:hint="eastAsia"/>
        </w:rPr>
      </w:pPr>
      <w:r>
        <w:lastRenderedPageBreak/>
        <w:t>4.  Inspect sampled drift events and verify that settings were realigned automatically or resolved through a documented process.</w:t>
      </w:r>
    </w:p>
    <w:p w14:paraId="315983D6" w14:textId="77777777" w:rsidR="00171114" w:rsidRDefault="00000000">
      <w:pPr>
        <w:spacing w:after="80"/>
        <w:ind w:left="403" w:hanging="230"/>
        <w:rPr>
          <w:rFonts w:hint="eastAsia"/>
        </w:rPr>
      </w:pPr>
      <w:r>
        <w:t>5.  Inspect baseline and exception changes and verify evidence of authorization, rationale, testing, and review.</w:t>
      </w:r>
    </w:p>
    <w:p w14:paraId="5223686E" w14:textId="77777777" w:rsidR="00171114" w:rsidRDefault="00000000">
      <w:pPr>
        <w:spacing w:after="80"/>
        <w:ind w:left="403" w:hanging="230"/>
        <w:rPr>
          <w:rFonts w:hint="eastAsia"/>
        </w:rPr>
      </w:pPr>
      <w:r>
        <w:t>6.  Inspect periodic reports and management review records for coverage gaps, unhealthy endpoints, drift trends, and aging exceptions.</w:t>
      </w:r>
    </w:p>
    <w:p w14:paraId="336A2CF0" w14:textId="77777777" w:rsidR="00171114" w:rsidRDefault="00000000">
      <w:pPr>
        <w:pStyle w:val="Heading2"/>
      </w:pPr>
      <w:r>
        <w:rPr>
          <w:rFonts w:ascii="DejaVu Sans" w:hAnsi="DejaVu Sans"/>
        </w:rPr>
        <w:t>Evidence package by control</w:t>
      </w:r>
    </w:p>
    <w:tbl>
      <w:tblPr>
        <w:tblW w:w="0" w:type="auto"/>
        <w:jc w:val="center"/>
        <w:tblLayout w:type="fixed"/>
        <w:tblLook w:val="04A0" w:firstRow="1" w:lastRow="0" w:firstColumn="1" w:lastColumn="0" w:noHBand="0" w:noVBand="1"/>
      </w:tblPr>
      <w:tblGrid>
        <w:gridCol w:w="936"/>
        <w:gridCol w:w="4320"/>
        <w:gridCol w:w="4392"/>
      </w:tblGrid>
      <w:tr w:rsidR="00171114" w14:paraId="5EFE0E99" w14:textId="77777777">
        <w:trPr>
          <w:tblHeader/>
          <w:jc w:val="center"/>
        </w:trPr>
        <w:tc>
          <w:tcPr>
            <w:tcW w:w="936" w:type="dxa"/>
            <w:tcBorders>
              <w:top w:val="single" w:sz="6" w:space="0" w:color="D9D9D9"/>
              <w:left w:val="single" w:sz="6" w:space="0" w:color="D9D9D9"/>
              <w:bottom w:val="single" w:sz="6" w:space="0" w:color="D9D9D9"/>
              <w:right w:val="single" w:sz="6" w:space="0" w:color="D9D9D9"/>
            </w:tcBorders>
            <w:shd w:val="clear" w:color="auto" w:fill="171717"/>
            <w:tcMar>
              <w:top w:w="115" w:type="dxa"/>
              <w:left w:w="110" w:type="dxa"/>
              <w:bottom w:w="115" w:type="dxa"/>
              <w:right w:w="110" w:type="dxa"/>
            </w:tcMar>
            <w:vAlign w:val="center"/>
          </w:tcPr>
          <w:p w14:paraId="0B4AB906" w14:textId="77777777" w:rsidR="00171114" w:rsidRDefault="00000000">
            <w:pPr>
              <w:spacing w:after="0"/>
              <w:jc w:val="center"/>
              <w:rPr>
                <w:rFonts w:hint="eastAsia"/>
              </w:rPr>
            </w:pPr>
            <w:r>
              <w:rPr>
                <w:b/>
                <w:color w:val="FFFFFF"/>
                <w:sz w:val="16"/>
              </w:rPr>
              <w:t>Control</w:t>
            </w:r>
          </w:p>
        </w:tc>
        <w:tc>
          <w:tcPr>
            <w:tcW w:w="4320" w:type="dxa"/>
            <w:tcBorders>
              <w:top w:val="single" w:sz="6" w:space="0" w:color="D9D9D9"/>
              <w:left w:val="single" w:sz="6" w:space="0" w:color="D9D9D9"/>
              <w:bottom w:val="single" w:sz="6" w:space="0" w:color="D9D9D9"/>
              <w:right w:val="single" w:sz="6" w:space="0" w:color="D9D9D9"/>
            </w:tcBorders>
            <w:shd w:val="clear" w:color="auto" w:fill="171717"/>
            <w:tcMar>
              <w:top w:w="115" w:type="dxa"/>
              <w:left w:w="110" w:type="dxa"/>
              <w:bottom w:w="115" w:type="dxa"/>
              <w:right w:w="110" w:type="dxa"/>
            </w:tcMar>
            <w:vAlign w:val="center"/>
          </w:tcPr>
          <w:p w14:paraId="4CA8D9BF" w14:textId="77777777" w:rsidR="00171114" w:rsidRDefault="00000000">
            <w:pPr>
              <w:spacing w:after="0"/>
              <w:rPr>
                <w:rFonts w:hint="eastAsia"/>
              </w:rPr>
            </w:pPr>
            <w:r>
              <w:rPr>
                <w:b/>
                <w:color w:val="FFFFFF"/>
                <w:sz w:val="16"/>
              </w:rPr>
              <w:t>Core evidence</w:t>
            </w:r>
          </w:p>
        </w:tc>
        <w:tc>
          <w:tcPr>
            <w:tcW w:w="4392" w:type="dxa"/>
            <w:tcBorders>
              <w:top w:val="single" w:sz="6" w:space="0" w:color="D9D9D9"/>
              <w:left w:val="single" w:sz="6" w:space="0" w:color="D9D9D9"/>
              <w:bottom w:val="single" w:sz="6" w:space="0" w:color="D9D9D9"/>
              <w:right w:val="single" w:sz="6" w:space="0" w:color="D9D9D9"/>
            </w:tcBorders>
            <w:shd w:val="clear" w:color="auto" w:fill="171717"/>
            <w:tcMar>
              <w:top w:w="115" w:type="dxa"/>
              <w:left w:w="110" w:type="dxa"/>
              <w:bottom w:w="115" w:type="dxa"/>
              <w:right w:w="110" w:type="dxa"/>
            </w:tcMar>
            <w:vAlign w:val="center"/>
          </w:tcPr>
          <w:p w14:paraId="04B64191" w14:textId="77777777" w:rsidR="00171114" w:rsidRDefault="00000000">
            <w:pPr>
              <w:spacing w:after="0"/>
              <w:rPr>
                <w:rFonts w:hint="eastAsia"/>
              </w:rPr>
            </w:pPr>
            <w:r>
              <w:rPr>
                <w:b/>
                <w:color w:val="FFFFFF"/>
                <w:sz w:val="16"/>
              </w:rPr>
              <w:t>Corroborating evidence</w:t>
            </w:r>
          </w:p>
        </w:tc>
      </w:tr>
      <w:tr w:rsidR="00171114" w14:paraId="357ECD83" w14:textId="77777777">
        <w:trPr>
          <w:jc w:val="center"/>
        </w:trPr>
        <w:tc>
          <w:tcPr>
            <w:tcW w:w="936" w:type="dxa"/>
            <w:tcBorders>
              <w:top w:val="single" w:sz="6" w:space="0" w:color="D9D9D9"/>
              <w:left w:val="single" w:sz="6" w:space="0" w:color="D9D9D9"/>
              <w:bottom w:val="single" w:sz="6" w:space="0" w:color="D9D9D9"/>
              <w:right w:val="single" w:sz="6" w:space="0" w:color="D9D9D9"/>
            </w:tcBorders>
            <w:shd w:val="clear" w:color="auto" w:fill="FFFFFF"/>
            <w:tcMar>
              <w:top w:w="100" w:type="dxa"/>
              <w:left w:w="105" w:type="dxa"/>
              <w:bottom w:w="100" w:type="dxa"/>
              <w:right w:w="105" w:type="dxa"/>
            </w:tcMar>
            <w:vAlign w:val="center"/>
          </w:tcPr>
          <w:p w14:paraId="5382E2E4" w14:textId="77777777" w:rsidR="00171114" w:rsidRDefault="00000000">
            <w:pPr>
              <w:spacing w:after="0" w:line="252" w:lineRule="auto"/>
              <w:jc w:val="center"/>
              <w:rPr>
                <w:rFonts w:hint="eastAsia"/>
              </w:rPr>
            </w:pPr>
            <w:r>
              <w:rPr>
                <w:sz w:val="16"/>
              </w:rPr>
              <w:t>EP 01</w:t>
            </w:r>
          </w:p>
        </w:tc>
        <w:tc>
          <w:tcPr>
            <w:tcW w:w="4320" w:type="dxa"/>
            <w:tcBorders>
              <w:top w:val="single" w:sz="6" w:space="0" w:color="D9D9D9"/>
              <w:left w:val="single" w:sz="6" w:space="0" w:color="D9D9D9"/>
              <w:bottom w:val="single" w:sz="6" w:space="0" w:color="D9D9D9"/>
              <w:right w:val="single" w:sz="6" w:space="0" w:color="D9D9D9"/>
            </w:tcBorders>
            <w:shd w:val="clear" w:color="auto" w:fill="FFFFFF"/>
            <w:tcMar>
              <w:top w:w="100" w:type="dxa"/>
              <w:left w:w="105" w:type="dxa"/>
              <w:bottom w:w="100" w:type="dxa"/>
              <w:right w:w="105" w:type="dxa"/>
            </w:tcMar>
            <w:vAlign w:val="center"/>
          </w:tcPr>
          <w:p w14:paraId="5F472077" w14:textId="77777777" w:rsidR="00171114" w:rsidRDefault="00000000">
            <w:pPr>
              <w:spacing w:after="0" w:line="252" w:lineRule="auto"/>
              <w:rPr>
                <w:rFonts w:hint="eastAsia"/>
              </w:rPr>
            </w:pPr>
            <w:r>
              <w:rPr>
                <w:sz w:val="16"/>
              </w:rPr>
              <w:t>Target configuration export; group design; device assignment</w:t>
            </w:r>
          </w:p>
        </w:tc>
        <w:tc>
          <w:tcPr>
            <w:tcW w:w="4392" w:type="dxa"/>
            <w:tcBorders>
              <w:top w:val="single" w:sz="6" w:space="0" w:color="D9D9D9"/>
              <w:left w:val="single" w:sz="6" w:space="0" w:color="D9D9D9"/>
              <w:bottom w:val="single" w:sz="6" w:space="0" w:color="D9D9D9"/>
              <w:right w:val="single" w:sz="6" w:space="0" w:color="D9D9D9"/>
            </w:tcBorders>
            <w:shd w:val="clear" w:color="auto" w:fill="FFFFFF"/>
            <w:tcMar>
              <w:top w:w="100" w:type="dxa"/>
              <w:left w:w="105" w:type="dxa"/>
              <w:bottom w:w="100" w:type="dxa"/>
              <w:right w:w="105" w:type="dxa"/>
            </w:tcMar>
            <w:vAlign w:val="center"/>
          </w:tcPr>
          <w:p w14:paraId="46B554B0" w14:textId="77777777" w:rsidR="00171114" w:rsidRDefault="00000000">
            <w:pPr>
              <w:spacing w:after="0" w:line="252" w:lineRule="auto"/>
              <w:rPr>
                <w:rFonts w:hint="eastAsia"/>
              </w:rPr>
            </w:pPr>
            <w:r>
              <w:rPr>
                <w:sz w:val="16"/>
              </w:rPr>
              <w:t>Security standard; benchmark rationale; implementation approval</w:t>
            </w:r>
          </w:p>
        </w:tc>
      </w:tr>
      <w:tr w:rsidR="00171114" w14:paraId="7F78FAA6" w14:textId="77777777">
        <w:trPr>
          <w:jc w:val="center"/>
        </w:trPr>
        <w:tc>
          <w:tcPr>
            <w:tcW w:w="936" w:type="dxa"/>
            <w:tcBorders>
              <w:top w:val="single" w:sz="6" w:space="0" w:color="D9D9D9"/>
              <w:left w:val="single" w:sz="6" w:space="0" w:color="D9D9D9"/>
              <w:bottom w:val="single" w:sz="6" w:space="0" w:color="D9D9D9"/>
              <w:right w:val="single" w:sz="6" w:space="0" w:color="D9D9D9"/>
            </w:tcBorders>
            <w:shd w:val="clear" w:color="auto" w:fill="FFF8DB"/>
            <w:tcMar>
              <w:top w:w="100" w:type="dxa"/>
              <w:left w:w="105" w:type="dxa"/>
              <w:bottom w:w="100" w:type="dxa"/>
              <w:right w:w="105" w:type="dxa"/>
            </w:tcMar>
            <w:vAlign w:val="center"/>
          </w:tcPr>
          <w:p w14:paraId="5C9EF1CE" w14:textId="77777777" w:rsidR="00171114" w:rsidRDefault="00000000">
            <w:pPr>
              <w:spacing w:after="0" w:line="252" w:lineRule="auto"/>
              <w:jc w:val="center"/>
              <w:rPr>
                <w:rFonts w:hint="eastAsia"/>
              </w:rPr>
            </w:pPr>
            <w:r>
              <w:rPr>
                <w:sz w:val="16"/>
              </w:rPr>
              <w:t>EP 02</w:t>
            </w:r>
          </w:p>
        </w:tc>
        <w:tc>
          <w:tcPr>
            <w:tcW w:w="4320" w:type="dxa"/>
            <w:tcBorders>
              <w:top w:val="single" w:sz="6" w:space="0" w:color="D9D9D9"/>
              <w:left w:val="single" w:sz="6" w:space="0" w:color="D9D9D9"/>
              <w:bottom w:val="single" w:sz="6" w:space="0" w:color="D9D9D9"/>
              <w:right w:val="single" w:sz="6" w:space="0" w:color="D9D9D9"/>
            </w:tcBorders>
            <w:shd w:val="clear" w:color="auto" w:fill="FFF8DB"/>
            <w:tcMar>
              <w:top w:w="100" w:type="dxa"/>
              <w:left w:w="105" w:type="dxa"/>
              <w:bottom w:w="100" w:type="dxa"/>
              <w:right w:w="105" w:type="dxa"/>
            </w:tcMar>
            <w:vAlign w:val="center"/>
          </w:tcPr>
          <w:p w14:paraId="58AF5628" w14:textId="77777777" w:rsidR="00171114" w:rsidRDefault="00000000">
            <w:pPr>
              <w:spacing w:after="0" w:line="252" w:lineRule="auto"/>
              <w:rPr>
                <w:rFonts w:hint="eastAsia"/>
              </w:rPr>
            </w:pPr>
            <w:r>
              <w:rPr>
                <w:sz w:val="16"/>
              </w:rPr>
              <w:t>Drift history; alerts; realignment records; periodic health report</w:t>
            </w:r>
          </w:p>
        </w:tc>
        <w:tc>
          <w:tcPr>
            <w:tcW w:w="4392" w:type="dxa"/>
            <w:tcBorders>
              <w:top w:val="single" w:sz="6" w:space="0" w:color="D9D9D9"/>
              <w:left w:val="single" w:sz="6" w:space="0" w:color="D9D9D9"/>
              <w:bottom w:val="single" w:sz="6" w:space="0" w:color="D9D9D9"/>
              <w:right w:val="single" w:sz="6" w:space="0" w:color="D9D9D9"/>
            </w:tcBorders>
            <w:shd w:val="clear" w:color="auto" w:fill="FFF8DB"/>
            <w:tcMar>
              <w:top w:w="100" w:type="dxa"/>
              <w:left w:w="105" w:type="dxa"/>
              <w:bottom w:w="100" w:type="dxa"/>
              <w:right w:w="105" w:type="dxa"/>
            </w:tcMar>
            <w:vAlign w:val="center"/>
          </w:tcPr>
          <w:p w14:paraId="59893311" w14:textId="77777777" w:rsidR="00171114" w:rsidRDefault="00000000">
            <w:pPr>
              <w:spacing w:after="0" w:line="252" w:lineRule="auto"/>
              <w:rPr>
                <w:rFonts w:hint="eastAsia"/>
              </w:rPr>
            </w:pPr>
            <w:r>
              <w:rPr>
                <w:sz w:val="16"/>
              </w:rPr>
              <w:t>Tickets for manual remediation; control review sign-off</w:t>
            </w:r>
          </w:p>
        </w:tc>
      </w:tr>
      <w:tr w:rsidR="00171114" w14:paraId="12438820" w14:textId="77777777">
        <w:trPr>
          <w:jc w:val="center"/>
        </w:trPr>
        <w:tc>
          <w:tcPr>
            <w:tcW w:w="936" w:type="dxa"/>
            <w:tcBorders>
              <w:top w:val="single" w:sz="6" w:space="0" w:color="D9D9D9"/>
              <w:left w:val="single" w:sz="6" w:space="0" w:color="D9D9D9"/>
              <w:bottom w:val="single" w:sz="6" w:space="0" w:color="D9D9D9"/>
              <w:right w:val="single" w:sz="6" w:space="0" w:color="D9D9D9"/>
            </w:tcBorders>
            <w:shd w:val="clear" w:color="auto" w:fill="FFFFFF"/>
            <w:tcMar>
              <w:top w:w="100" w:type="dxa"/>
              <w:left w:w="105" w:type="dxa"/>
              <w:bottom w:w="100" w:type="dxa"/>
              <w:right w:w="105" w:type="dxa"/>
            </w:tcMar>
            <w:vAlign w:val="center"/>
          </w:tcPr>
          <w:p w14:paraId="5F34AC96" w14:textId="77777777" w:rsidR="00171114" w:rsidRDefault="00000000">
            <w:pPr>
              <w:spacing w:after="0" w:line="252" w:lineRule="auto"/>
              <w:jc w:val="center"/>
              <w:rPr>
                <w:rFonts w:hint="eastAsia"/>
              </w:rPr>
            </w:pPr>
            <w:r>
              <w:rPr>
                <w:sz w:val="16"/>
              </w:rPr>
              <w:t>EP 03</w:t>
            </w:r>
          </w:p>
        </w:tc>
        <w:tc>
          <w:tcPr>
            <w:tcW w:w="4320" w:type="dxa"/>
            <w:tcBorders>
              <w:top w:val="single" w:sz="6" w:space="0" w:color="D9D9D9"/>
              <w:left w:val="single" w:sz="6" w:space="0" w:color="D9D9D9"/>
              <w:bottom w:val="single" w:sz="6" w:space="0" w:color="D9D9D9"/>
              <w:right w:val="single" w:sz="6" w:space="0" w:color="D9D9D9"/>
            </w:tcBorders>
            <w:shd w:val="clear" w:color="auto" w:fill="FFFFFF"/>
            <w:tcMar>
              <w:top w:w="100" w:type="dxa"/>
              <w:left w:w="105" w:type="dxa"/>
              <w:bottom w:w="100" w:type="dxa"/>
              <w:right w:w="105" w:type="dxa"/>
            </w:tcMar>
            <w:vAlign w:val="center"/>
          </w:tcPr>
          <w:p w14:paraId="02CDE11F" w14:textId="77777777" w:rsidR="00171114" w:rsidRDefault="00000000">
            <w:pPr>
              <w:spacing w:after="0" w:line="252" w:lineRule="auto"/>
              <w:rPr>
                <w:rFonts w:hint="eastAsia"/>
              </w:rPr>
            </w:pPr>
            <w:r>
              <w:rPr>
                <w:sz w:val="16"/>
              </w:rPr>
              <w:t>Settings report for firewall, remote access, antimalware, and services</w:t>
            </w:r>
          </w:p>
        </w:tc>
        <w:tc>
          <w:tcPr>
            <w:tcW w:w="4392" w:type="dxa"/>
            <w:tcBorders>
              <w:top w:val="single" w:sz="6" w:space="0" w:color="D9D9D9"/>
              <w:left w:val="single" w:sz="6" w:space="0" w:color="D9D9D9"/>
              <w:bottom w:val="single" w:sz="6" w:space="0" w:color="D9D9D9"/>
              <w:right w:val="single" w:sz="6" w:space="0" w:color="D9D9D9"/>
            </w:tcBorders>
            <w:shd w:val="clear" w:color="auto" w:fill="FFFFFF"/>
            <w:tcMar>
              <w:top w:w="100" w:type="dxa"/>
              <w:left w:w="105" w:type="dxa"/>
              <w:bottom w:w="100" w:type="dxa"/>
              <w:right w:w="105" w:type="dxa"/>
            </w:tcMar>
            <w:vAlign w:val="center"/>
          </w:tcPr>
          <w:p w14:paraId="2F420195" w14:textId="77777777" w:rsidR="00171114" w:rsidRDefault="00000000">
            <w:pPr>
              <w:spacing w:after="0" w:line="252" w:lineRule="auto"/>
              <w:rPr>
                <w:rFonts w:hint="eastAsia"/>
              </w:rPr>
            </w:pPr>
            <w:r>
              <w:rPr>
                <w:sz w:val="16"/>
              </w:rPr>
              <w:t>EDR coverage report; network standard; vulnerability scan</w:t>
            </w:r>
          </w:p>
        </w:tc>
      </w:tr>
      <w:tr w:rsidR="00171114" w14:paraId="4A06C165" w14:textId="77777777">
        <w:trPr>
          <w:jc w:val="center"/>
        </w:trPr>
        <w:tc>
          <w:tcPr>
            <w:tcW w:w="936" w:type="dxa"/>
            <w:tcBorders>
              <w:top w:val="single" w:sz="6" w:space="0" w:color="D9D9D9"/>
              <w:left w:val="single" w:sz="6" w:space="0" w:color="D9D9D9"/>
              <w:bottom w:val="single" w:sz="6" w:space="0" w:color="D9D9D9"/>
              <w:right w:val="single" w:sz="6" w:space="0" w:color="D9D9D9"/>
            </w:tcBorders>
            <w:shd w:val="clear" w:color="auto" w:fill="FFF8DB"/>
            <w:tcMar>
              <w:top w:w="100" w:type="dxa"/>
              <w:left w:w="105" w:type="dxa"/>
              <w:bottom w:w="100" w:type="dxa"/>
              <w:right w:w="105" w:type="dxa"/>
            </w:tcMar>
            <w:vAlign w:val="center"/>
          </w:tcPr>
          <w:p w14:paraId="43C9F9AF" w14:textId="77777777" w:rsidR="00171114" w:rsidRDefault="00000000">
            <w:pPr>
              <w:spacing w:after="0" w:line="252" w:lineRule="auto"/>
              <w:jc w:val="center"/>
              <w:rPr>
                <w:rFonts w:hint="eastAsia"/>
              </w:rPr>
            </w:pPr>
            <w:r>
              <w:rPr>
                <w:sz w:val="16"/>
              </w:rPr>
              <w:t>EP 04</w:t>
            </w:r>
          </w:p>
        </w:tc>
        <w:tc>
          <w:tcPr>
            <w:tcW w:w="4320" w:type="dxa"/>
            <w:tcBorders>
              <w:top w:val="single" w:sz="6" w:space="0" w:color="D9D9D9"/>
              <w:left w:val="single" w:sz="6" w:space="0" w:color="D9D9D9"/>
              <w:bottom w:val="single" w:sz="6" w:space="0" w:color="D9D9D9"/>
              <w:right w:val="single" w:sz="6" w:space="0" w:color="D9D9D9"/>
            </w:tcBorders>
            <w:shd w:val="clear" w:color="auto" w:fill="FFF8DB"/>
            <w:tcMar>
              <w:top w:w="100" w:type="dxa"/>
              <w:left w:w="105" w:type="dxa"/>
              <w:bottom w:w="100" w:type="dxa"/>
              <w:right w:w="105" w:type="dxa"/>
            </w:tcMar>
            <w:vAlign w:val="center"/>
          </w:tcPr>
          <w:p w14:paraId="367C820C" w14:textId="77777777" w:rsidR="00171114" w:rsidRDefault="00000000">
            <w:pPr>
              <w:spacing w:after="0" w:line="252" w:lineRule="auto"/>
              <w:rPr>
                <w:rFonts w:hint="eastAsia"/>
              </w:rPr>
            </w:pPr>
            <w:r>
              <w:rPr>
                <w:sz w:val="16"/>
              </w:rPr>
              <w:t>Exception groups; annotations; target-value history</w:t>
            </w:r>
          </w:p>
        </w:tc>
        <w:tc>
          <w:tcPr>
            <w:tcW w:w="4392" w:type="dxa"/>
            <w:tcBorders>
              <w:top w:val="single" w:sz="6" w:space="0" w:color="D9D9D9"/>
              <w:left w:val="single" w:sz="6" w:space="0" w:color="D9D9D9"/>
              <w:bottom w:val="single" w:sz="6" w:space="0" w:color="D9D9D9"/>
              <w:right w:val="single" w:sz="6" w:space="0" w:color="D9D9D9"/>
            </w:tcBorders>
            <w:shd w:val="clear" w:color="auto" w:fill="FFF8DB"/>
            <w:tcMar>
              <w:top w:w="100" w:type="dxa"/>
              <w:left w:w="105" w:type="dxa"/>
              <w:bottom w:w="100" w:type="dxa"/>
              <w:right w:w="105" w:type="dxa"/>
            </w:tcMar>
            <w:vAlign w:val="center"/>
          </w:tcPr>
          <w:p w14:paraId="6195C72C" w14:textId="77777777" w:rsidR="00171114" w:rsidRDefault="00000000">
            <w:pPr>
              <w:spacing w:after="0" w:line="252" w:lineRule="auto"/>
              <w:rPr>
                <w:rFonts w:hint="eastAsia"/>
              </w:rPr>
            </w:pPr>
            <w:r>
              <w:rPr>
                <w:sz w:val="16"/>
              </w:rPr>
              <w:t>Change tickets; risk acceptance; periodic exception review</w:t>
            </w:r>
          </w:p>
        </w:tc>
      </w:tr>
    </w:tbl>
    <w:p w14:paraId="00361471" w14:textId="77777777" w:rsidR="00171114" w:rsidRDefault="00171114">
      <w:pPr>
        <w:spacing w:after="20"/>
        <w:rPr>
          <w:rFonts w:hint="eastAsia"/>
        </w:rPr>
      </w:pPr>
    </w:p>
    <w:p w14:paraId="35BAD0E0" w14:textId="77777777" w:rsidR="00171114" w:rsidRDefault="00000000">
      <w:pPr>
        <w:pStyle w:val="Heading1"/>
      </w:pPr>
      <w:r>
        <w:rPr>
          <w:rFonts w:ascii="DejaVu Sans" w:hAnsi="DejaVu Sans"/>
          <w:color w:val="FAAB17"/>
        </w:rPr>
        <w:t xml:space="preserve">7  </w:t>
      </w:r>
      <w:r>
        <w:rPr>
          <w:rFonts w:ascii="DejaVu Sans" w:hAnsi="DejaVu Sans"/>
        </w:rPr>
        <w:t>Control Boundaries and Responsible Claims</w:t>
      </w:r>
    </w:p>
    <w:p w14:paraId="5AEBE017" w14:textId="77777777" w:rsidR="00171114" w:rsidRDefault="00000000">
      <w:pPr>
        <w:keepLines/>
        <w:spacing w:before="100" w:after="140"/>
        <w:rPr>
          <w:rFonts w:hint="eastAsia"/>
        </w:rPr>
      </w:pPr>
      <w:r>
        <w:rPr>
          <w:b/>
          <w:color w:val="FAAB17"/>
          <w:sz w:val="22"/>
        </w:rPr>
        <w:t xml:space="preserve">Important boundary </w:t>
      </w:r>
      <w:r>
        <w:rPr>
          <w:b/>
          <w:color w:val="000000"/>
          <w:sz w:val="22"/>
        </w:rPr>
        <w:t>Senteon strengthens a SOC 2 control environment, but no endpoint hardening product can make an organization SOC 2 compliant by itself.</w:t>
      </w:r>
    </w:p>
    <w:p w14:paraId="2600BBDB" w14:textId="7465DC3A" w:rsidR="00171114" w:rsidRDefault="00000000">
      <w:pPr>
        <w:rPr>
          <w:rFonts w:hint="eastAsia"/>
        </w:rPr>
      </w:pPr>
      <w:r>
        <w:t>Senteon can enforce and evidence endpoint configuration. Management must still define policy, assign owners, approve risk decisions, maintain inventory, secure access to the Senteon platform, review exceptions, and respond to failures.</w:t>
      </w:r>
    </w:p>
    <w:p w14:paraId="053390D0" w14:textId="00E2A6BB" w:rsidR="00171114" w:rsidRDefault="00000000">
      <w:pPr>
        <w:pStyle w:val="Heading2"/>
      </w:pPr>
      <w:r>
        <w:rPr>
          <w:rFonts w:ascii="DejaVu Sans" w:hAnsi="DejaVu Sans"/>
        </w:rPr>
        <w:t>Controls</w:t>
      </w:r>
      <w:r w:rsidR="00263FB4">
        <w:rPr>
          <w:rFonts w:ascii="DejaVu Sans" w:hAnsi="DejaVu Sans"/>
        </w:rPr>
        <w:t xml:space="preserve"> where</w:t>
      </w:r>
      <w:r>
        <w:rPr>
          <w:rFonts w:ascii="DejaVu Sans" w:hAnsi="DejaVu Sans"/>
        </w:rPr>
        <w:t xml:space="preserve"> Senteon</w:t>
      </w:r>
      <w:r w:rsidR="00263FB4">
        <w:rPr>
          <w:rFonts w:ascii="DejaVu Sans" w:hAnsi="DejaVu Sans"/>
        </w:rPr>
        <w:t xml:space="preserve"> supports</w:t>
      </w:r>
    </w:p>
    <w:tbl>
      <w:tblPr>
        <w:tblW w:w="0" w:type="auto"/>
        <w:jc w:val="center"/>
        <w:tblLayout w:type="fixed"/>
        <w:tblLook w:val="04A0" w:firstRow="1" w:lastRow="0" w:firstColumn="1" w:lastColumn="0" w:noHBand="0" w:noVBand="1"/>
      </w:tblPr>
      <w:tblGrid>
        <w:gridCol w:w="1655"/>
        <w:gridCol w:w="4752"/>
        <w:gridCol w:w="3240"/>
      </w:tblGrid>
      <w:tr w:rsidR="00171114" w14:paraId="61E8B6BD" w14:textId="77777777">
        <w:trPr>
          <w:tblHeader/>
          <w:jc w:val="center"/>
        </w:trPr>
        <w:tc>
          <w:tcPr>
            <w:tcW w:w="1655" w:type="dxa"/>
            <w:tcBorders>
              <w:top w:val="single" w:sz="6" w:space="0" w:color="D9D9D9"/>
              <w:left w:val="single" w:sz="6" w:space="0" w:color="D9D9D9"/>
              <w:bottom w:val="single" w:sz="6" w:space="0" w:color="D9D9D9"/>
              <w:right w:val="single" w:sz="6" w:space="0" w:color="D9D9D9"/>
            </w:tcBorders>
            <w:shd w:val="clear" w:color="auto" w:fill="171717"/>
            <w:tcMar>
              <w:top w:w="115" w:type="dxa"/>
              <w:left w:w="110" w:type="dxa"/>
              <w:bottom w:w="115" w:type="dxa"/>
              <w:right w:w="110" w:type="dxa"/>
            </w:tcMar>
            <w:vAlign w:val="center"/>
          </w:tcPr>
          <w:p w14:paraId="26471D48" w14:textId="77777777" w:rsidR="00171114" w:rsidRDefault="00000000">
            <w:pPr>
              <w:spacing w:after="0"/>
              <w:jc w:val="center"/>
              <w:rPr>
                <w:rFonts w:hint="eastAsia"/>
              </w:rPr>
            </w:pPr>
            <w:r>
              <w:rPr>
                <w:b/>
                <w:color w:val="FFFFFF"/>
                <w:sz w:val="16"/>
              </w:rPr>
              <w:t>Area</w:t>
            </w:r>
          </w:p>
        </w:tc>
        <w:tc>
          <w:tcPr>
            <w:tcW w:w="4752" w:type="dxa"/>
            <w:tcBorders>
              <w:top w:val="single" w:sz="6" w:space="0" w:color="D9D9D9"/>
              <w:left w:val="single" w:sz="6" w:space="0" w:color="D9D9D9"/>
              <w:bottom w:val="single" w:sz="6" w:space="0" w:color="D9D9D9"/>
              <w:right w:val="single" w:sz="6" w:space="0" w:color="D9D9D9"/>
            </w:tcBorders>
            <w:shd w:val="clear" w:color="auto" w:fill="171717"/>
            <w:tcMar>
              <w:top w:w="115" w:type="dxa"/>
              <w:left w:w="110" w:type="dxa"/>
              <w:bottom w:w="115" w:type="dxa"/>
              <w:right w:w="110" w:type="dxa"/>
            </w:tcMar>
            <w:vAlign w:val="center"/>
          </w:tcPr>
          <w:p w14:paraId="113B22F5" w14:textId="77777777" w:rsidR="00171114" w:rsidRDefault="00000000">
            <w:pPr>
              <w:spacing w:after="0"/>
              <w:rPr>
                <w:rFonts w:hint="eastAsia"/>
              </w:rPr>
            </w:pPr>
            <w:r>
              <w:rPr>
                <w:b/>
                <w:color w:val="FFFFFF"/>
                <w:sz w:val="16"/>
              </w:rPr>
              <w:t>Why Senteon is not the complete control</w:t>
            </w:r>
          </w:p>
        </w:tc>
        <w:tc>
          <w:tcPr>
            <w:tcW w:w="3240" w:type="dxa"/>
            <w:tcBorders>
              <w:top w:val="single" w:sz="6" w:space="0" w:color="D9D9D9"/>
              <w:left w:val="single" w:sz="6" w:space="0" w:color="D9D9D9"/>
              <w:bottom w:val="single" w:sz="6" w:space="0" w:color="D9D9D9"/>
              <w:right w:val="single" w:sz="6" w:space="0" w:color="D9D9D9"/>
            </w:tcBorders>
            <w:shd w:val="clear" w:color="auto" w:fill="171717"/>
            <w:tcMar>
              <w:top w:w="115" w:type="dxa"/>
              <w:left w:w="110" w:type="dxa"/>
              <w:bottom w:w="115" w:type="dxa"/>
              <w:right w:w="110" w:type="dxa"/>
            </w:tcMar>
            <w:vAlign w:val="center"/>
          </w:tcPr>
          <w:p w14:paraId="24B8D5A4" w14:textId="77777777" w:rsidR="00171114" w:rsidRDefault="00000000">
            <w:pPr>
              <w:spacing w:after="0"/>
              <w:rPr>
                <w:rFonts w:hint="eastAsia"/>
              </w:rPr>
            </w:pPr>
            <w:r>
              <w:rPr>
                <w:b/>
                <w:color w:val="FFFFFF"/>
                <w:sz w:val="16"/>
              </w:rPr>
              <w:t>Complementary control source</w:t>
            </w:r>
          </w:p>
        </w:tc>
      </w:tr>
      <w:tr w:rsidR="00171114" w14:paraId="16C80874" w14:textId="77777777">
        <w:trPr>
          <w:jc w:val="center"/>
        </w:trPr>
        <w:tc>
          <w:tcPr>
            <w:tcW w:w="1655" w:type="dxa"/>
            <w:tcBorders>
              <w:top w:val="single" w:sz="6" w:space="0" w:color="D9D9D9"/>
              <w:left w:val="single" w:sz="6" w:space="0" w:color="D9D9D9"/>
              <w:bottom w:val="single" w:sz="6" w:space="0" w:color="D9D9D9"/>
              <w:right w:val="single" w:sz="6" w:space="0" w:color="D9D9D9"/>
            </w:tcBorders>
            <w:shd w:val="clear" w:color="auto" w:fill="FFFFFF"/>
            <w:tcMar>
              <w:top w:w="100" w:type="dxa"/>
              <w:left w:w="105" w:type="dxa"/>
              <w:bottom w:w="100" w:type="dxa"/>
              <w:right w:w="105" w:type="dxa"/>
            </w:tcMar>
            <w:vAlign w:val="center"/>
          </w:tcPr>
          <w:p w14:paraId="37B75969" w14:textId="77777777" w:rsidR="00171114" w:rsidRDefault="00000000">
            <w:pPr>
              <w:spacing w:after="0" w:line="252" w:lineRule="auto"/>
              <w:jc w:val="center"/>
              <w:rPr>
                <w:rFonts w:hint="eastAsia"/>
              </w:rPr>
            </w:pPr>
            <w:r>
              <w:rPr>
                <w:sz w:val="16"/>
              </w:rPr>
              <w:t>CC6.2 and CC6.3</w:t>
            </w:r>
          </w:p>
        </w:tc>
        <w:tc>
          <w:tcPr>
            <w:tcW w:w="4752" w:type="dxa"/>
            <w:tcBorders>
              <w:top w:val="single" w:sz="6" w:space="0" w:color="D9D9D9"/>
              <w:left w:val="single" w:sz="6" w:space="0" w:color="D9D9D9"/>
              <w:bottom w:val="single" w:sz="6" w:space="0" w:color="D9D9D9"/>
              <w:right w:val="single" w:sz="6" w:space="0" w:color="D9D9D9"/>
            </w:tcBorders>
            <w:shd w:val="clear" w:color="auto" w:fill="FFFFFF"/>
            <w:tcMar>
              <w:top w:w="100" w:type="dxa"/>
              <w:left w:w="105" w:type="dxa"/>
              <w:bottom w:w="100" w:type="dxa"/>
              <w:right w:w="105" w:type="dxa"/>
            </w:tcMar>
            <w:vAlign w:val="center"/>
          </w:tcPr>
          <w:p w14:paraId="0FEDE870" w14:textId="77777777" w:rsidR="00171114" w:rsidRDefault="00000000">
            <w:pPr>
              <w:spacing w:after="0" w:line="252" w:lineRule="auto"/>
              <w:rPr>
                <w:rFonts w:hint="eastAsia"/>
              </w:rPr>
            </w:pPr>
            <w:r>
              <w:rPr>
                <w:sz w:val="16"/>
              </w:rPr>
              <w:t>User authorization, provisioning, modification, and removal require identity lifecycle processes</w:t>
            </w:r>
          </w:p>
        </w:tc>
        <w:tc>
          <w:tcPr>
            <w:tcW w:w="3240" w:type="dxa"/>
            <w:tcBorders>
              <w:top w:val="single" w:sz="6" w:space="0" w:color="D9D9D9"/>
              <w:left w:val="single" w:sz="6" w:space="0" w:color="D9D9D9"/>
              <w:bottom w:val="single" w:sz="6" w:space="0" w:color="D9D9D9"/>
              <w:right w:val="single" w:sz="6" w:space="0" w:color="D9D9D9"/>
            </w:tcBorders>
            <w:shd w:val="clear" w:color="auto" w:fill="FFFFFF"/>
            <w:tcMar>
              <w:top w:w="100" w:type="dxa"/>
              <w:left w:w="105" w:type="dxa"/>
              <w:bottom w:w="100" w:type="dxa"/>
              <w:right w:w="105" w:type="dxa"/>
            </w:tcMar>
            <w:vAlign w:val="center"/>
          </w:tcPr>
          <w:p w14:paraId="34FADB9E" w14:textId="77777777" w:rsidR="00171114" w:rsidRDefault="00000000">
            <w:pPr>
              <w:spacing w:after="0" w:line="252" w:lineRule="auto"/>
              <w:rPr>
                <w:rFonts w:hint="eastAsia"/>
              </w:rPr>
            </w:pPr>
            <w:r>
              <w:rPr>
                <w:sz w:val="16"/>
              </w:rPr>
              <w:t>Google Workspace, Okta, Entra ID, HRIS, access tickets</w:t>
            </w:r>
          </w:p>
        </w:tc>
      </w:tr>
      <w:tr w:rsidR="00171114" w14:paraId="1526359B" w14:textId="77777777">
        <w:trPr>
          <w:jc w:val="center"/>
        </w:trPr>
        <w:tc>
          <w:tcPr>
            <w:tcW w:w="1655" w:type="dxa"/>
            <w:tcBorders>
              <w:top w:val="single" w:sz="6" w:space="0" w:color="D9D9D9"/>
              <w:left w:val="single" w:sz="6" w:space="0" w:color="D9D9D9"/>
              <w:bottom w:val="single" w:sz="6" w:space="0" w:color="D9D9D9"/>
              <w:right w:val="single" w:sz="6" w:space="0" w:color="D9D9D9"/>
            </w:tcBorders>
            <w:shd w:val="clear" w:color="auto" w:fill="FFF8DB"/>
            <w:tcMar>
              <w:top w:w="100" w:type="dxa"/>
              <w:left w:w="105" w:type="dxa"/>
              <w:bottom w:w="100" w:type="dxa"/>
              <w:right w:w="105" w:type="dxa"/>
            </w:tcMar>
            <w:vAlign w:val="center"/>
          </w:tcPr>
          <w:p w14:paraId="12F90BA2" w14:textId="77777777" w:rsidR="00171114" w:rsidRDefault="00000000">
            <w:pPr>
              <w:spacing w:after="0" w:line="252" w:lineRule="auto"/>
              <w:jc w:val="center"/>
              <w:rPr>
                <w:rFonts w:hint="eastAsia"/>
              </w:rPr>
            </w:pPr>
            <w:r>
              <w:rPr>
                <w:sz w:val="16"/>
              </w:rPr>
              <w:t>CC7.3</w:t>
            </w:r>
          </w:p>
        </w:tc>
        <w:tc>
          <w:tcPr>
            <w:tcW w:w="4752" w:type="dxa"/>
            <w:tcBorders>
              <w:top w:val="single" w:sz="6" w:space="0" w:color="D9D9D9"/>
              <w:left w:val="single" w:sz="6" w:space="0" w:color="D9D9D9"/>
              <w:bottom w:val="single" w:sz="6" w:space="0" w:color="D9D9D9"/>
              <w:right w:val="single" w:sz="6" w:space="0" w:color="D9D9D9"/>
            </w:tcBorders>
            <w:shd w:val="clear" w:color="auto" w:fill="FFF8DB"/>
            <w:tcMar>
              <w:top w:w="100" w:type="dxa"/>
              <w:left w:w="105" w:type="dxa"/>
              <w:bottom w:w="100" w:type="dxa"/>
              <w:right w:w="105" w:type="dxa"/>
            </w:tcMar>
            <w:vAlign w:val="center"/>
          </w:tcPr>
          <w:p w14:paraId="773FEFE2" w14:textId="77777777" w:rsidR="00171114" w:rsidRDefault="00000000">
            <w:pPr>
              <w:spacing w:after="0" w:line="252" w:lineRule="auto"/>
              <w:rPr>
                <w:rFonts w:hint="eastAsia"/>
              </w:rPr>
            </w:pPr>
            <w:r>
              <w:rPr>
                <w:sz w:val="16"/>
              </w:rPr>
              <w:t>Security event evaluation requires correlation, triage, investigation, and escalation</w:t>
            </w:r>
          </w:p>
        </w:tc>
        <w:tc>
          <w:tcPr>
            <w:tcW w:w="3240" w:type="dxa"/>
            <w:tcBorders>
              <w:top w:val="single" w:sz="6" w:space="0" w:color="D9D9D9"/>
              <w:left w:val="single" w:sz="6" w:space="0" w:color="D9D9D9"/>
              <w:bottom w:val="single" w:sz="6" w:space="0" w:color="D9D9D9"/>
              <w:right w:val="single" w:sz="6" w:space="0" w:color="D9D9D9"/>
            </w:tcBorders>
            <w:shd w:val="clear" w:color="auto" w:fill="FFF8DB"/>
            <w:tcMar>
              <w:top w:w="100" w:type="dxa"/>
              <w:left w:w="105" w:type="dxa"/>
              <w:bottom w:w="100" w:type="dxa"/>
              <w:right w:w="105" w:type="dxa"/>
            </w:tcMar>
            <w:vAlign w:val="center"/>
          </w:tcPr>
          <w:p w14:paraId="6AE2AD7B" w14:textId="77777777" w:rsidR="00171114" w:rsidRDefault="00000000">
            <w:pPr>
              <w:spacing w:after="0" w:line="252" w:lineRule="auto"/>
              <w:rPr>
                <w:rFonts w:hint="eastAsia"/>
              </w:rPr>
            </w:pPr>
            <w:r>
              <w:rPr>
                <w:sz w:val="16"/>
              </w:rPr>
              <w:t>SIEM, EDR, MDR, incident queue</w:t>
            </w:r>
          </w:p>
        </w:tc>
      </w:tr>
      <w:tr w:rsidR="00171114" w14:paraId="33661DEF" w14:textId="77777777">
        <w:trPr>
          <w:jc w:val="center"/>
        </w:trPr>
        <w:tc>
          <w:tcPr>
            <w:tcW w:w="1655" w:type="dxa"/>
            <w:tcBorders>
              <w:top w:val="single" w:sz="6" w:space="0" w:color="D9D9D9"/>
              <w:left w:val="single" w:sz="6" w:space="0" w:color="D9D9D9"/>
              <w:bottom w:val="single" w:sz="6" w:space="0" w:color="D9D9D9"/>
              <w:right w:val="single" w:sz="6" w:space="0" w:color="D9D9D9"/>
            </w:tcBorders>
            <w:shd w:val="clear" w:color="auto" w:fill="FFFFFF"/>
            <w:tcMar>
              <w:top w:w="100" w:type="dxa"/>
              <w:left w:w="105" w:type="dxa"/>
              <w:bottom w:w="100" w:type="dxa"/>
              <w:right w:w="105" w:type="dxa"/>
            </w:tcMar>
            <w:vAlign w:val="center"/>
          </w:tcPr>
          <w:p w14:paraId="75E340C4" w14:textId="77777777" w:rsidR="00171114" w:rsidRDefault="00000000">
            <w:pPr>
              <w:spacing w:after="0" w:line="252" w:lineRule="auto"/>
              <w:jc w:val="center"/>
              <w:rPr>
                <w:rFonts w:hint="eastAsia"/>
              </w:rPr>
            </w:pPr>
            <w:r>
              <w:rPr>
                <w:sz w:val="16"/>
              </w:rPr>
              <w:t>CC7.4</w:t>
            </w:r>
          </w:p>
        </w:tc>
        <w:tc>
          <w:tcPr>
            <w:tcW w:w="4752" w:type="dxa"/>
            <w:tcBorders>
              <w:top w:val="single" w:sz="6" w:space="0" w:color="D9D9D9"/>
              <w:left w:val="single" w:sz="6" w:space="0" w:color="D9D9D9"/>
              <w:bottom w:val="single" w:sz="6" w:space="0" w:color="D9D9D9"/>
              <w:right w:val="single" w:sz="6" w:space="0" w:color="D9D9D9"/>
            </w:tcBorders>
            <w:shd w:val="clear" w:color="auto" w:fill="FFFFFF"/>
            <w:tcMar>
              <w:top w:w="100" w:type="dxa"/>
              <w:left w:w="105" w:type="dxa"/>
              <w:bottom w:w="100" w:type="dxa"/>
              <w:right w:w="105" w:type="dxa"/>
            </w:tcMar>
            <w:vAlign w:val="center"/>
          </w:tcPr>
          <w:p w14:paraId="2A3887A8" w14:textId="77777777" w:rsidR="00171114" w:rsidRDefault="00000000">
            <w:pPr>
              <w:spacing w:after="0" w:line="252" w:lineRule="auto"/>
              <w:rPr>
                <w:rFonts w:hint="eastAsia"/>
              </w:rPr>
            </w:pPr>
            <w:r>
              <w:rPr>
                <w:sz w:val="16"/>
              </w:rPr>
              <w:t>Incident response includes containment, communications, evidence handling, and lessons learned</w:t>
            </w:r>
          </w:p>
        </w:tc>
        <w:tc>
          <w:tcPr>
            <w:tcW w:w="3240" w:type="dxa"/>
            <w:tcBorders>
              <w:top w:val="single" w:sz="6" w:space="0" w:color="D9D9D9"/>
              <w:left w:val="single" w:sz="6" w:space="0" w:color="D9D9D9"/>
              <w:bottom w:val="single" w:sz="6" w:space="0" w:color="D9D9D9"/>
              <w:right w:val="single" w:sz="6" w:space="0" w:color="D9D9D9"/>
            </w:tcBorders>
            <w:shd w:val="clear" w:color="auto" w:fill="FFFFFF"/>
            <w:tcMar>
              <w:top w:w="100" w:type="dxa"/>
              <w:left w:w="105" w:type="dxa"/>
              <w:bottom w:w="100" w:type="dxa"/>
              <w:right w:w="105" w:type="dxa"/>
            </w:tcMar>
            <w:vAlign w:val="center"/>
          </w:tcPr>
          <w:p w14:paraId="55B8F399" w14:textId="77777777" w:rsidR="00171114" w:rsidRDefault="00000000">
            <w:pPr>
              <w:spacing w:after="0" w:line="252" w:lineRule="auto"/>
              <w:rPr>
                <w:rFonts w:hint="eastAsia"/>
              </w:rPr>
            </w:pPr>
            <w:r>
              <w:rPr>
                <w:sz w:val="16"/>
              </w:rPr>
              <w:t>Incident response plan and case records</w:t>
            </w:r>
          </w:p>
        </w:tc>
      </w:tr>
      <w:tr w:rsidR="00171114" w14:paraId="2601AE41" w14:textId="77777777">
        <w:trPr>
          <w:jc w:val="center"/>
        </w:trPr>
        <w:tc>
          <w:tcPr>
            <w:tcW w:w="1655" w:type="dxa"/>
            <w:tcBorders>
              <w:top w:val="single" w:sz="6" w:space="0" w:color="D9D9D9"/>
              <w:left w:val="single" w:sz="6" w:space="0" w:color="D9D9D9"/>
              <w:bottom w:val="single" w:sz="6" w:space="0" w:color="D9D9D9"/>
              <w:right w:val="single" w:sz="6" w:space="0" w:color="D9D9D9"/>
            </w:tcBorders>
            <w:shd w:val="clear" w:color="auto" w:fill="FFF8DB"/>
            <w:tcMar>
              <w:top w:w="100" w:type="dxa"/>
              <w:left w:w="105" w:type="dxa"/>
              <w:bottom w:w="100" w:type="dxa"/>
              <w:right w:w="105" w:type="dxa"/>
            </w:tcMar>
            <w:vAlign w:val="center"/>
          </w:tcPr>
          <w:p w14:paraId="6F971C22" w14:textId="77777777" w:rsidR="00171114" w:rsidRDefault="00000000">
            <w:pPr>
              <w:spacing w:after="0" w:line="252" w:lineRule="auto"/>
              <w:jc w:val="center"/>
              <w:rPr>
                <w:rFonts w:hint="eastAsia"/>
              </w:rPr>
            </w:pPr>
            <w:r>
              <w:rPr>
                <w:sz w:val="16"/>
              </w:rPr>
              <w:t>CC7.5</w:t>
            </w:r>
          </w:p>
        </w:tc>
        <w:tc>
          <w:tcPr>
            <w:tcW w:w="4752" w:type="dxa"/>
            <w:tcBorders>
              <w:top w:val="single" w:sz="6" w:space="0" w:color="D9D9D9"/>
              <w:left w:val="single" w:sz="6" w:space="0" w:color="D9D9D9"/>
              <w:bottom w:val="single" w:sz="6" w:space="0" w:color="D9D9D9"/>
              <w:right w:val="single" w:sz="6" w:space="0" w:color="D9D9D9"/>
            </w:tcBorders>
            <w:shd w:val="clear" w:color="auto" w:fill="FFF8DB"/>
            <w:tcMar>
              <w:top w:w="100" w:type="dxa"/>
              <w:left w:w="105" w:type="dxa"/>
              <w:bottom w:w="100" w:type="dxa"/>
              <w:right w:w="105" w:type="dxa"/>
            </w:tcMar>
            <w:vAlign w:val="center"/>
          </w:tcPr>
          <w:p w14:paraId="131F3B0B" w14:textId="77777777" w:rsidR="00171114" w:rsidRDefault="00000000">
            <w:pPr>
              <w:spacing w:after="0" w:line="252" w:lineRule="auto"/>
              <w:rPr>
                <w:rFonts w:hint="eastAsia"/>
              </w:rPr>
            </w:pPr>
            <w:r>
              <w:rPr>
                <w:sz w:val="16"/>
              </w:rPr>
              <w:t>Recovery requires restoration planning, testing, and business resumption</w:t>
            </w:r>
          </w:p>
        </w:tc>
        <w:tc>
          <w:tcPr>
            <w:tcW w:w="3240" w:type="dxa"/>
            <w:tcBorders>
              <w:top w:val="single" w:sz="6" w:space="0" w:color="D9D9D9"/>
              <w:left w:val="single" w:sz="6" w:space="0" w:color="D9D9D9"/>
              <w:bottom w:val="single" w:sz="6" w:space="0" w:color="D9D9D9"/>
              <w:right w:val="single" w:sz="6" w:space="0" w:color="D9D9D9"/>
            </w:tcBorders>
            <w:shd w:val="clear" w:color="auto" w:fill="FFF8DB"/>
            <w:tcMar>
              <w:top w:w="100" w:type="dxa"/>
              <w:left w:w="105" w:type="dxa"/>
              <w:bottom w:w="100" w:type="dxa"/>
              <w:right w:w="105" w:type="dxa"/>
            </w:tcMar>
            <w:vAlign w:val="center"/>
          </w:tcPr>
          <w:p w14:paraId="3028BDAF" w14:textId="77777777" w:rsidR="00171114" w:rsidRDefault="00000000">
            <w:pPr>
              <w:spacing w:after="0" w:line="252" w:lineRule="auto"/>
              <w:rPr>
                <w:rFonts w:hint="eastAsia"/>
              </w:rPr>
            </w:pPr>
            <w:r>
              <w:rPr>
                <w:sz w:val="16"/>
              </w:rPr>
              <w:t>BCDR program and recovery evidence</w:t>
            </w:r>
          </w:p>
        </w:tc>
      </w:tr>
      <w:tr w:rsidR="00171114" w14:paraId="280EC680" w14:textId="77777777">
        <w:trPr>
          <w:jc w:val="center"/>
        </w:trPr>
        <w:tc>
          <w:tcPr>
            <w:tcW w:w="1655" w:type="dxa"/>
            <w:tcBorders>
              <w:top w:val="single" w:sz="6" w:space="0" w:color="D9D9D9"/>
              <w:left w:val="single" w:sz="6" w:space="0" w:color="D9D9D9"/>
              <w:bottom w:val="single" w:sz="6" w:space="0" w:color="D9D9D9"/>
              <w:right w:val="single" w:sz="6" w:space="0" w:color="D9D9D9"/>
            </w:tcBorders>
            <w:shd w:val="clear" w:color="auto" w:fill="FFFFFF"/>
            <w:tcMar>
              <w:top w:w="100" w:type="dxa"/>
              <w:left w:w="105" w:type="dxa"/>
              <w:bottom w:w="100" w:type="dxa"/>
              <w:right w:w="105" w:type="dxa"/>
            </w:tcMar>
            <w:vAlign w:val="center"/>
          </w:tcPr>
          <w:p w14:paraId="2986B8A0" w14:textId="77777777" w:rsidR="00171114" w:rsidRDefault="00000000">
            <w:pPr>
              <w:spacing w:after="0" w:line="252" w:lineRule="auto"/>
              <w:jc w:val="center"/>
              <w:rPr>
                <w:rFonts w:hint="eastAsia"/>
              </w:rPr>
            </w:pPr>
            <w:r>
              <w:rPr>
                <w:sz w:val="16"/>
              </w:rPr>
              <w:t>CC8.1</w:t>
            </w:r>
          </w:p>
        </w:tc>
        <w:tc>
          <w:tcPr>
            <w:tcW w:w="4752" w:type="dxa"/>
            <w:tcBorders>
              <w:top w:val="single" w:sz="6" w:space="0" w:color="D9D9D9"/>
              <w:left w:val="single" w:sz="6" w:space="0" w:color="D9D9D9"/>
              <w:bottom w:val="single" w:sz="6" w:space="0" w:color="D9D9D9"/>
              <w:right w:val="single" w:sz="6" w:space="0" w:color="D9D9D9"/>
            </w:tcBorders>
            <w:shd w:val="clear" w:color="auto" w:fill="FFFFFF"/>
            <w:tcMar>
              <w:top w:w="100" w:type="dxa"/>
              <w:left w:w="105" w:type="dxa"/>
              <w:bottom w:w="100" w:type="dxa"/>
              <w:right w:w="105" w:type="dxa"/>
            </w:tcMar>
            <w:vAlign w:val="center"/>
          </w:tcPr>
          <w:p w14:paraId="306590C4" w14:textId="77777777" w:rsidR="00171114" w:rsidRDefault="00000000">
            <w:pPr>
              <w:spacing w:after="0" w:line="252" w:lineRule="auto"/>
              <w:rPr>
                <w:rFonts w:hint="eastAsia"/>
              </w:rPr>
            </w:pPr>
            <w:r>
              <w:rPr>
                <w:sz w:val="16"/>
              </w:rPr>
              <w:t>Senteon shows resulting configuration and history but not the complete enterprise approval and testing workflow</w:t>
            </w:r>
          </w:p>
        </w:tc>
        <w:tc>
          <w:tcPr>
            <w:tcW w:w="3240" w:type="dxa"/>
            <w:tcBorders>
              <w:top w:val="single" w:sz="6" w:space="0" w:color="D9D9D9"/>
              <w:left w:val="single" w:sz="6" w:space="0" w:color="D9D9D9"/>
              <w:bottom w:val="single" w:sz="6" w:space="0" w:color="D9D9D9"/>
              <w:right w:val="single" w:sz="6" w:space="0" w:color="D9D9D9"/>
            </w:tcBorders>
            <w:shd w:val="clear" w:color="auto" w:fill="FFFFFF"/>
            <w:tcMar>
              <w:top w:w="100" w:type="dxa"/>
              <w:left w:w="105" w:type="dxa"/>
              <w:bottom w:w="100" w:type="dxa"/>
              <w:right w:w="105" w:type="dxa"/>
            </w:tcMar>
            <w:vAlign w:val="center"/>
          </w:tcPr>
          <w:p w14:paraId="436F8359" w14:textId="77777777" w:rsidR="00171114" w:rsidRDefault="00000000">
            <w:pPr>
              <w:spacing w:after="0" w:line="252" w:lineRule="auto"/>
              <w:rPr>
                <w:rFonts w:hint="eastAsia"/>
              </w:rPr>
            </w:pPr>
            <w:r>
              <w:rPr>
                <w:sz w:val="16"/>
              </w:rPr>
              <w:t>Jira, ServiceNow, GitHub, change advisory process</w:t>
            </w:r>
          </w:p>
        </w:tc>
      </w:tr>
      <w:tr w:rsidR="00171114" w14:paraId="26600B4D" w14:textId="77777777">
        <w:trPr>
          <w:jc w:val="center"/>
        </w:trPr>
        <w:tc>
          <w:tcPr>
            <w:tcW w:w="1655" w:type="dxa"/>
            <w:tcBorders>
              <w:top w:val="single" w:sz="6" w:space="0" w:color="D9D9D9"/>
              <w:left w:val="single" w:sz="6" w:space="0" w:color="D9D9D9"/>
              <w:bottom w:val="single" w:sz="6" w:space="0" w:color="D9D9D9"/>
              <w:right w:val="single" w:sz="6" w:space="0" w:color="D9D9D9"/>
            </w:tcBorders>
            <w:shd w:val="clear" w:color="auto" w:fill="FFF8DB"/>
            <w:tcMar>
              <w:top w:w="100" w:type="dxa"/>
              <w:left w:w="105" w:type="dxa"/>
              <w:bottom w:w="100" w:type="dxa"/>
              <w:right w:w="105" w:type="dxa"/>
            </w:tcMar>
            <w:vAlign w:val="center"/>
          </w:tcPr>
          <w:p w14:paraId="59E1D5D2" w14:textId="77777777" w:rsidR="00171114" w:rsidRDefault="00000000">
            <w:pPr>
              <w:spacing w:after="0" w:line="252" w:lineRule="auto"/>
              <w:jc w:val="center"/>
              <w:rPr>
                <w:rFonts w:hint="eastAsia"/>
              </w:rPr>
            </w:pPr>
            <w:r>
              <w:rPr>
                <w:sz w:val="16"/>
              </w:rPr>
              <w:lastRenderedPageBreak/>
              <w:t>CC9 criteria</w:t>
            </w:r>
          </w:p>
        </w:tc>
        <w:tc>
          <w:tcPr>
            <w:tcW w:w="4752" w:type="dxa"/>
            <w:tcBorders>
              <w:top w:val="single" w:sz="6" w:space="0" w:color="D9D9D9"/>
              <w:left w:val="single" w:sz="6" w:space="0" w:color="D9D9D9"/>
              <w:bottom w:val="single" w:sz="6" w:space="0" w:color="D9D9D9"/>
              <w:right w:val="single" w:sz="6" w:space="0" w:color="D9D9D9"/>
            </w:tcBorders>
            <w:shd w:val="clear" w:color="auto" w:fill="FFF8DB"/>
            <w:tcMar>
              <w:top w:w="100" w:type="dxa"/>
              <w:left w:w="105" w:type="dxa"/>
              <w:bottom w:w="100" w:type="dxa"/>
              <w:right w:w="105" w:type="dxa"/>
            </w:tcMar>
            <w:vAlign w:val="center"/>
          </w:tcPr>
          <w:p w14:paraId="47D4B168" w14:textId="77777777" w:rsidR="00171114" w:rsidRDefault="00000000">
            <w:pPr>
              <w:spacing w:after="0" w:line="252" w:lineRule="auto"/>
              <w:rPr>
                <w:rFonts w:hint="eastAsia"/>
              </w:rPr>
            </w:pPr>
            <w:r>
              <w:rPr>
                <w:sz w:val="16"/>
              </w:rPr>
              <w:t>Vendor and business risk mitigation extends far beyond endpoint configuration</w:t>
            </w:r>
          </w:p>
        </w:tc>
        <w:tc>
          <w:tcPr>
            <w:tcW w:w="3240" w:type="dxa"/>
            <w:tcBorders>
              <w:top w:val="single" w:sz="6" w:space="0" w:color="D9D9D9"/>
              <w:left w:val="single" w:sz="6" w:space="0" w:color="D9D9D9"/>
              <w:bottom w:val="single" w:sz="6" w:space="0" w:color="D9D9D9"/>
              <w:right w:val="single" w:sz="6" w:space="0" w:color="D9D9D9"/>
            </w:tcBorders>
            <w:shd w:val="clear" w:color="auto" w:fill="FFF8DB"/>
            <w:tcMar>
              <w:top w:w="100" w:type="dxa"/>
              <w:left w:w="105" w:type="dxa"/>
              <w:bottom w:w="100" w:type="dxa"/>
              <w:right w:w="105" w:type="dxa"/>
            </w:tcMar>
            <w:vAlign w:val="center"/>
          </w:tcPr>
          <w:p w14:paraId="45A6ADA2" w14:textId="77777777" w:rsidR="00171114" w:rsidRDefault="00000000">
            <w:pPr>
              <w:spacing w:after="0" w:line="252" w:lineRule="auto"/>
              <w:rPr>
                <w:rFonts w:hint="eastAsia"/>
              </w:rPr>
            </w:pPr>
            <w:r>
              <w:rPr>
                <w:sz w:val="16"/>
              </w:rPr>
              <w:t>Risk register, vendor management, insurance, contracts</w:t>
            </w:r>
          </w:p>
        </w:tc>
      </w:tr>
    </w:tbl>
    <w:p w14:paraId="4D9E4E95" w14:textId="77777777" w:rsidR="00171114" w:rsidRDefault="00171114">
      <w:pPr>
        <w:spacing w:after="20"/>
        <w:rPr>
          <w:rFonts w:hint="eastAsia"/>
        </w:rPr>
      </w:pPr>
    </w:p>
    <w:p w14:paraId="4D397A27" w14:textId="77777777" w:rsidR="00171114" w:rsidRDefault="00000000">
      <w:pPr>
        <w:rPr>
          <w:rFonts w:hint="eastAsia"/>
        </w:rPr>
      </w:pPr>
      <w:r>
        <w:t>This discipline improves the sales and audit narrative. Buyers and auditors are more likely to trust a mapping that identifies exactly where the platform is primary, where it is supporting, and where another control must complete the design.</w:t>
      </w:r>
    </w:p>
    <w:p w14:paraId="311003B5" w14:textId="77777777" w:rsidR="00171114" w:rsidRDefault="00000000">
      <w:pPr>
        <w:pStyle w:val="Heading1"/>
      </w:pPr>
      <w:r>
        <w:rPr>
          <w:rFonts w:ascii="DejaVu Sans" w:hAnsi="DejaVu Sans"/>
          <w:color w:val="FAAB17"/>
        </w:rPr>
        <w:t xml:space="preserve">8  </w:t>
      </w:r>
      <w:r>
        <w:rPr>
          <w:rFonts w:ascii="DejaVu Sans" w:hAnsi="DejaVu Sans"/>
        </w:rPr>
        <w:t>Implementation Model</w:t>
      </w:r>
    </w:p>
    <w:p w14:paraId="4E6B12EA" w14:textId="77777777" w:rsidR="00171114" w:rsidRDefault="00000000">
      <w:pPr>
        <w:rPr>
          <w:rFonts w:hint="eastAsia"/>
        </w:rPr>
      </w:pPr>
      <w:r>
        <w:t>A successful implementation begins with the audit boundary, not the product dashboard. The organization should identify the endpoints supporting the in-scope system, assign those devices to defined profiles, and reconcile the resulting Senteon population to the authoritative inventory.</w:t>
      </w:r>
    </w:p>
    <w:p w14:paraId="7CC184E1" w14:textId="77777777" w:rsidR="00171114" w:rsidRDefault="00000000">
      <w:pPr>
        <w:pStyle w:val="Heading2"/>
      </w:pPr>
      <w:r>
        <w:rPr>
          <w:rFonts w:ascii="DejaVu Sans" w:hAnsi="DejaVu Sans"/>
        </w:rPr>
        <w:t>Implementation sequence</w:t>
      </w:r>
    </w:p>
    <w:p w14:paraId="27139ED4" w14:textId="77777777" w:rsidR="00171114" w:rsidRDefault="00000000">
      <w:pPr>
        <w:spacing w:after="80"/>
        <w:ind w:left="403" w:hanging="230"/>
        <w:rPr>
          <w:rFonts w:hint="eastAsia"/>
        </w:rPr>
      </w:pPr>
      <w:r>
        <w:t>1.  Define scope and authoritative inventory. Identify the workstation, server, browser, and Microsoft Office populations that support the SOC 2 system.</w:t>
      </w:r>
    </w:p>
    <w:p w14:paraId="36C104DB" w14:textId="77777777" w:rsidR="00171114" w:rsidRDefault="00000000">
      <w:pPr>
        <w:spacing w:after="80"/>
        <w:ind w:left="403" w:hanging="230"/>
        <w:rPr>
          <w:rFonts w:hint="eastAsia"/>
        </w:rPr>
      </w:pPr>
      <w:r>
        <w:t>2.  Approve baseline standards. Select benchmark-aligned target values and document deviations based on business impact.</w:t>
      </w:r>
    </w:p>
    <w:p w14:paraId="25E4173B" w14:textId="77777777" w:rsidR="00171114" w:rsidRDefault="00000000">
      <w:pPr>
        <w:spacing w:after="80"/>
        <w:ind w:left="403" w:hanging="230"/>
        <w:rPr>
          <w:rFonts w:hint="eastAsia"/>
        </w:rPr>
      </w:pPr>
      <w:r>
        <w:t>3.  Pilot and evaluate disruption. Use a representative population to validate compatibility before broad enforcement.</w:t>
      </w:r>
    </w:p>
    <w:p w14:paraId="3A5C0BD3" w14:textId="77777777" w:rsidR="00171114" w:rsidRDefault="00000000">
      <w:pPr>
        <w:spacing w:after="80"/>
        <w:ind w:left="403" w:hanging="230"/>
        <w:rPr>
          <w:rFonts w:hint="eastAsia"/>
        </w:rPr>
      </w:pPr>
      <w:r>
        <w:t>4.  Deploy by endpoint profile. Assign every in-scope endpoint to an approved baseline or documented exception group.</w:t>
      </w:r>
    </w:p>
    <w:p w14:paraId="783E6BE0" w14:textId="77777777" w:rsidR="00171114" w:rsidRDefault="00000000">
      <w:pPr>
        <w:spacing w:after="80"/>
        <w:ind w:left="403" w:hanging="230"/>
        <w:rPr>
          <w:rFonts w:hint="eastAsia"/>
        </w:rPr>
      </w:pPr>
      <w:r>
        <w:t>5.  Operationalize drift response. Define ownership, alert handling, escalation, and remediation expectations for offline, drifted, or unhealthy endpoints.</w:t>
      </w:r>
    </w:p>
    <w:p w14:paraId="0DBD627F" w14:textId="77777777" w:rsidR="00171114" w:rsidRDefault="00000000">
      <w:pPr>
        <w:spacing w:after="80"/>
        <w:ind w:left="403" w:hanging="230"/>
        <w:rPr>
          <w:rFonts w:hint="eastAsia"/>
        </w:rPr>
      </w:pPr>
      <w:r>
        <w:t>6.  Establish recurring evidence. Retain monthly reports, drift samples, population reconciliations, change records, and exception reviews.</w:t>
      </w:r>
    </w:p>
    <w:p w14:paraId="357847D4" w14:textId="77777777" w:rsidR="00171114" w:rsidRDefault="00000000">
      <w:pPr>
        <w:spacing w:after="80"/>
        <w:ind w:left="403" w:hanging="230"/>
        <w:rPr>
          <w:rFonts w:hint="eastAsia"/>
        </w:rPr>
      </w:pPr>
      <w:r>
        <w:t>7.  Review effectiveness. Track coverage, time to realignment, aging exceptions, and repeat drift to improve the control over time.</w:t>
      </w:r>
    </w:p>
    <w:p w14:paraId="62685180" w14:textId="77777777" w:rsidR="00171114" w:rsidRDefault="00000000">
      <w:pPr>
        <w:pStyle w:val="Heading2"/>
      </w:pPr>
      <w:r>
        <w:rPr>
          <w:rFonts w:ascii="DejaVu Sans" w:hAnsi="DejaVu Sans"/>
        </w:rPr>
        <w:t>Suggested operating metrics</w:t>
      </w:r>
    </w:p>
    <w:tbl>
      <w:tblPr>
        <w:tblW w:w="0" w:type="auto"/>
        <w:jc w:val="center"/>
        <w:tblLayout w:type="fixed"/>
        <w:tblLook w:val="04A0" w:firstRow="1" w:lastRow="0" w:firstColumn="1" w:lastColumn="0" w:noHBand="0" w:noVBand="1"/>
      </w:tblPr>
      <w:tblGrid>
        <w:gridCol w:w="2520"/>
        <w:gridCol w:w="4320"/>
        <w:gridCol w:w="2808"/>
      </w:tblGrid>
      <w:tr w:rsidR="00171114" w14:paraId="40D86CA4" w14:textId="77777777">
        <w:trPr>
          <w:tblHeader/>
          <w:jc w:val="center"/>
        </w:trPr>
        <w:tc>
          <w:tcPr>
            <w:tcW w:w="2520" w:type="dxa"/>
            <w:tcBorders>
              <w:top w:val="single" w:sz="6" w:space="0" w:color="D9D9D9"/>
              <w:left w:val="single" w:sz="6" w:space="0" w:color="D9D9D9"/>
              <w:bottom w:val="single" w:sz="6" w:space="0" w:color="D9D9D9"/>
              <w:right w:val="single" w:sz="6" w:space="0" w:color="D9D9D9"/>
            </w:tcBorders>
            <w:shd w:val="clear" w:color="auto" w:fill="171717"/>
            <w:tcMar>
              <w:top w:w="115" w:type="dxa"/>
              <w:left w:w="110" w:type="dxa"/>
              <w:bottom w:w="115" w:type="dxa"/>
              <w:right w:w="110" w:type="dxa"/>
            </w:tcMar>
            <w:vAlign w:val="center"/>
          </w:tcPr>
          <w:p w14:paraId="570B9243" w14:textId="77777777" w:rsidR="00171114" w:rsidRDefault="00000000">
            <w:pPr>
              <w:spacing w:after="0"/>
              <w:jc w:val="center"/>
              <w:rPr>
                <w:rFonts w:hint="eastAsia"/>
              </w:rPr>
            </w:pPr>
            <w:r>
              <w:rPr>
                <w:b/>
                <w:color w:val="FFFFFF"/>
                <w:sz w:val="16"/>
              </w:rPr>
              <w:t>Metric</w:t>
            </w:r>
          </w:p>
        </w:tc>
        <w:tc>
          <w:tcPr>
            <w:tcW w:w="4320" w:type="dxa"/>
            <w:tcBorders>
              <w:top w:val="single" w:sz="6" w:space="0" w:color="D9D9D9"/>
              <w:left w:val="single" w:sz="6" w:space="0" w:color="D9D9D9"/>
              <w:bottom w:val="single" w:sz="6" w:space="0" w:color="D9D9D9"/>
              <w:right w:val="single" w:sz="6" w:space="0" w:color="D9D9D9"/>
            </w:tcBorders>
            <w:shd w:val="clear" w:color="auto" w:fill="171717"/>
            <w:tcMar>
              <w:top w:w="115" w:type="dxa"/>
              <w:left w:w="110" w:type="dxa"/>
              <w:bottom w:w="115" w:type="dxa"/>
              <w:right w:w="110" w:type="dxa"/>
            </w:tcMar>
            <w:vAlign w:val="center"/>
          </w:tcPr>
          <w:p w14:paraId="71F6EA5B" w14:textId="77777777" w:rsidR="00171114" w:rsidRDefault="00000000">
            <w:pPr>
              <w:spacing w:after="0"/>
              <w:rPr>
                <w:rFonts w:hint="eastAsia"/>
              </w:rPr>
            </w:pPr>
            <w:r>
              <w:rPr>
                <w:b/>
                <w:color w:val="FFFFFF"/>
                <w:sz w:val="16"/>
              </w:rPr>
              <w:t>Purpose</w:t>
            </w:r>
          </w:p>
        </w:tc>
        <w:tc>
          <w:tcPr>
            <w:tcW w:w="2808" w:type="dxa"/>
            <w:tcBorders>
              <w:top w:val="single" w:sz="6" w:space="0" w:color="D9D9D9"/>
              <w:left w:val="single" w:sz="6" w:space="0" w:color="D9D9D9"/>
              <w:bottom w:val="single" w:sz="6" w:space="0" w:color="D9D9D9"/>
              <w:right w:val="single" w:sz="6" w:space="0" w:color="D9D9D9"/>
            </w:tcBorders>
            <w:shd w:val="clear" w:color="auto" w:fill="171717"/>
            <w:tcMar>
              <w:top w:w="115" w:type="dxa"/>
              <w:left w:w="110" w:type="dxa"/>
              <w:bottom w:w="115" w:type="dxa"/>
              <w:right w:w="110" w:type="dxa"/>
            </w:tcMar>
            <w:vAlign w:val="center"/>
          </w:tcPr>
          <w:p w14:paraId="288992FB" w14:textId="77777777" w:rsidR="00171114" w:rsidRDefault="00000000">
            <w:pPr>
              <w:spacing w:after="0"/>
              <w:rPr>
                <w:rFonts w:hint="eastAsia"/>
              </w:rPr>
            </w:pPr>
            <w:r>
              <w:rPr>
                <w:b/>
                <w:color w:val="FFFFFF"/>
                <w:sz w:val="16"/>
              </w:rPr>
              <w:t>Example target</w:t>
            </w:r>
          </w:p>
        </w:tc>
      </w:tr>
      <w:tr w:rsidR="00171114" w14:paraId="55DA3A3A" w14:textId="77777777">
        <w:trPr>
          <w:jc w:val="center"/>
        </w:trPr>
        <w:tc>
          <w:tcPr>
            <w:tcW w:w="2520" w:type="dxa"/>
            <w:tcBorders>
              <w:top w:val="single" w:sz="6" w:space="0" w:color="D9D9D9"/>
              <w:left w:val="single" w:sz="6" w:space="0" w:color="D9D9D9"/>
              <w:bottom w:val="single" w:sz="6" w:space="0" w:color="D9D9D9"/>
              <w:right w:val="single" w:sz="6" w:space="0" w:color="D9D9D9"/>
            </w:tcBorders>
            <w:shd w:val="clear" w:color="auto" w:fill="FFFFFF"/>
            <w:tcMar>
              <w:top w:w="100" w:type="dxa"/>
              <w:left w:w="105" w:type="dxa"/>
              <w:bottom w:w="100" w:type="dxa"/>
              <w:right w:w="105" w:type="dxa"/>
            </w:tcMar>
            <w:vAlign w:val="center"/>
          </w:tcPr>
          <w:p w14:paraId="49CCB807" w14:textId="77777777" w:rsidR="00171114" w:rsidRDefault="00000000">
            <w:pPr>
              <w:spacing w:after="0" w:line="252" w:lineRule="auto"/>
              <w:jc w:val="center"/>
              <w:rPr>
                <w:rFonts w:hint="eastAsia"/>
              </w:rPr>
            </w:pPr>
            <w:r>
              <w:rPr>
                <w:sz w:val="16"/>
              </w:rPr>
              <w:t>In-scope endpoint coverage</w:t>
            </w:r>
          </w:p>
        </w:tc>
        <w:tc>
          <w:tcPr>
            <w:tcW w:w="4320" w:type="dxa"/>
            <w:tcBorders>
              <w:top w:val="single" w:sz="6" w:space="0" w:color="D9D9D9"/>
              <w:left w:val="single" w:sz="6" w:space="0" w:color="D9D9D9"/>
              <w:bottom w:val="single" w:sz="6" w:space="0" w:color="D9D9D9"/>
              <w:right w:val="single" w:sz="6" w:space="0" w:color="D9D9D9"/>
            </w:tcBorders>
            <w:shd w:val="clear" w:color="auto" w:fill="FFFFFF"/>
            <w:tcMar>
              <w:top w:w="100" w:type="dxa"/>
              <w:left w:w="105" w:type="dxa"/>
              <w:bottom w:w="100" w:type="dxa"/>
              <w:right w:w="105" w:type="dxa"/>
            </w:tcMar>
            <w:vAlign w:val="center"/>
          </w:tcPr>
          <w:p w14:paraId="4DBCC653" w14:textId="77777777" w:rsidR="00171114" w:rsidRDefault="00000000">
            <w:pPr>
              <w:spacing w:after="0" w:line="252" w:lineRule="auto"/>
              <w:rPr>
                <w:rFonts w:hint="eastAsia"/>
              </w:rPr>
            </w:pPr>
            <w:r>
              <w:rPr>
                <w:sz w:val="16"/>
              </w:rPr>
              <w:t>Tests completeness of agent deployment and group assignment</w:t>
            </w:r>
          </w:p>
        </w:tc>
        <w:tc>
          <w:tcPr>
            <w:tcW w:w="2808" w:type="dxa"/>
            <w:tcBorders>
              <w:top w:val="single" w:sz="6" w:space="0" w:color="D9D9D9"/>
              <w:left w:val="single" w:sz="6" w:space="0" w:color="D9D9D9"/>
              <w:bottom w:val="single" w:sz="6" w:space="0" w:color="D9D9D9"/>
              <w:right w:val="single" w:sz="6" w:space="0" w:color="D9D9D9"/>
            </w:tcBorders>
            <w:shd w:val="clear" w:color="auto" w:fill="FFFFFF"/>
            <w:tcMar>
              <w:top w:w="100" w:type="dxa"/>
              <w:left w:w="105" w:type="dxa"/>
              <w:bottom w:w="100" w:type="dxa"/>
              <w:right w:w="105" w:type="dxa"/>
            </w:tcMar>
            <w:vAlign w:val="center"/>
          </w:tcPr>
          <w:p w14:paraId="5E113990" w14:textId="77777777" w:rsidR="00171114" w:rsidRDefault="00000000">
            <w:pPr>
              <w:spacing w:after="0" w:line="252" w:lineRule="auto"/>
              <w:rPr>
                <w:rFonts w:hint="eastAsia"/>
              </w:rPr>
            </w:pPr>
            <w:r>
              <w:rPr>
                <w:sz w:val="16"/>
              </w:rPr>
              <w:t>At least 98 percent with documented disposition for the remainder</w:t>
            </w:r>
          </w:p>
        </w:tc>
      </w:tr>
      <w:tr w:rsidR="00171114" w14:paraId="1572D031" w14:textId="77777777">
        <w:trPr>
          <w:jc w:val="center"/>
        </w:trPr>
        <w:tc>
          <w:tcPr>
            <w:tcW w:w="2520" w:type="dxa"/>
            <w:tcBorders>
              <w:top w:val="single" w:sz="6" w:space="0" w:color="D9D9D9"/>
              <w:left w:val="single" w:sz="6" w:space="0" w:color="D9D9D9"/>
              <w:bottom w:val="single" w:sz="6" w:space="0" w:color="D9D9D9"/>
              <w:right w:val="single" w:sz="6" w:space="0" w:color="D9D9D9"/>
            </w:tcBorders>
            <w:shd w:val="clear" w:color="auto" w:fill="FFF8DB"/>
            <w:tcMar>
              <w:top w:w="100" w:type="dxa"/>
              <w:left w:w="105" w:type="dxa"/>
              <w:bottom w:w="100" w:type="dxa"/>
              <w:right w:w="105" w:type="dxa"/>
            </w:tcMar>
            <w:vAlign w:val="center"/>
          </w:tcPr>
          <w:p w14:paraId="2FF8B902" w14:textId="77777777" w:rsidR="00171114" w:rsidRDefault="00000000">
            <w:pPr>
              <w:spacing w:after="0" w:line="252" w:lineRule="auto"/>
              <w:jc w:val="center"/>
              <w:rPr>
                <w:rFonts w:hint="eastAsia"/>
              </w:rPr>
            </w:pPr>
            <w:r>
              <w:rPr>
                <w:sz w:val="16"/>
              </w:rPr>
              <w:t>Healthy configuration rate</w:t>
            </w:r>
          </w:p>
        </w:tc>
        <w:tc>
          <w:tcPr>
            <w:tcW w:w="4320" w:type="dxa"/>
            <w:tcBorders>
              <w:top w:val="single" w:sz="6" w:space="0" w:color="D9D9D9"/>
              <w:left w:val="single" w:sz="6" w:space="0" w:color="D9D9D9"/>
              <w:bottom w:val="single" w:sz="6" w:space="0" w:color="D9D9D9"/>
              <w:right w:val="single" w:sz="6" w:space="0" w:color="D9D9D9"/>
            </w:tcBorders>
            <w:shd w:val="clear" w:color="auto" w:fill="FFF8DB"/>
            <w:tcMar>
              <w:top w:w="100" w:type="dxa"/>
              <w:left w:w="105" w:type="dxa"/>
              <w:bottom w:w="100" w:type="dxa"/>
              <w:right w:w="105" w:type="dxa"/>
            </w:tcMar>
            <w:vAlign w:val="center"/>
          </w:tcPr>
          <w:p w14:paraId="73DE57D1" w14:textId="77777777" w:rsidR="00171114" w:rsidRDefault="00000000">
            <w:pPr>
              <w:spacing w:after="0" w:line="252" w:lineRule="auto"/>
              <w:rPr>
                <w:rFonts w:hint="eastAsia"/>
              </w:rPr>
            </w:pPr>
            <w:r>
              <w:rPr>
                <w:sz w:val="16"/>
              </w:rPr>
              <w:t>Measures current alignment to approved target values</w:t>
            </w:r>
          </w:p>
        </w:tc>
        <w:tc>
          <w:tcPr>
            <w:tcW w:w="2808" w:type="dxa"/>
            <w:tcBorders>
              <w:top w:val="single" w:sz="6" w:space="0" w:color="D9D9D9"/>
              <w:left w:val="single" w:sz="6" w:space="0" w:color="D9D9D9"/>
              <w:bottom w:val="single" w:sz="6" w:space="0" w:color="D9D9D9"/>
              <w:right w:val="single" w:sz="6" w:space="0" w:color="D9D9D9"/>
            </w:tcBorders>
            <w:shd w:val="clear" w:color="auto" w:fill="FFF8DB"/>
            <w:tcMar>
              <w:top w:w="100" w:type="dxa"/>
              <w:left w:w="105" w:type="dxa"/>
              <w:bottom w:w="100" w:type="dxa"/>
              <w:right w:w="105" w:type="dxa"/>
            </w:tcMar>
            <w:vAlign w:val="center"/>
          </w:tcPr>
          <w:p w14:paraId="33DBE1D1" w14:textId="77777777" w:rsidR="00171114" w:rsidRDefault="00000000">
            <w:pPr>
              <w:spacing w:after="0" w:line="252" w:lineRule="auto"/>
              <w:rPr>
                <w:rFonts w:hint="eastAsia"/>
              </w:rPr>
            </w:pPr>
            <w:r>
              <w:rPr>
                <w:sz w:val="16"/>
              </w:rPr>
              <w:t>Risk-based target by endpoint class</w:t>
            </w:r>
          </w:p>
        </w:tc>
      </w:tr>
      <w:tr w:rsidR="00171114" w14:paraId="3B3A218E" w14:textId="77777777">
        <w:trPr>
          <w:jc w:val="center"/>
        </w:trPr>
        <w:tc>
          <w:tcPr>
            <w:tcW w:w="2520" w:type="dxa"/>
            <w:tcBorders>
              <w:top w:val="single" w:sz="6" w:space="0" w:color="D9D9D9"/>
              <w:left w:val="single" w:sz="6" w:space="0" w:color="D9D9D9"/>
              <w:bottom w:val="single" w:sz="6" w:space="0" w:color="D9D9D9"/>
              <w:right w:val="single" w:sz="6" w:space="0" w:color="D9D9D9"/>
            </w:tcBorders>
            <w:shd w:val="clear" w:color="auto" w:fill="FFFFFF"/>
            <w:tcMar>
              <w:top w:w="100" w:type="dxa"/>
              <w:left w:w="105" w:type="dxa"/>
              <w:bottom w:w="100" w:type="dxa"/>
              <w:right w:w="105" w:type="dxa"/>
            </w:tcMar>
            <w:vAlign w:val="center"/>
          </w:tcPr>
          <w:p w14:paraId="70A9A34B" w14:textId="77777777" w:rsidR="00171114" w:rsidRDefault="00000000">
            <w:pPr>
              <w:spacing w:after="0" w:line="252" w:lineRule="auto"/>
              <w:jc w:val="center"/>
              <w:rPr>
                <w:rFonts w:hint="eastAsia"/>
              </w:rPr>
            </w:pPr>
            <w:r>
              <w:rPr>
                <w:sz w:val="16"/>
              </w:rPr>
              <w:t>Median drift</w:t>
            </w:r>
            <w:r>
              <w:rPr>
                <w:sz w:val="16"/>
              </w:rPr>
              <w:br/>
              <w:t>realignment time</w:t>
            </w:r>
          </w:p>
        </w:tc>
        <w:tc>
          <w:tcPr>
            <w:tcW w:w="4320" w:type="dxa"/>
            <w:tcBorders>
              <w:top w:val="single" w:sz="6" w:space="0" w:color="D9D9D9"/>
              <w:left w:val="single" w:sz="6" w:space="0" w:color="D9D9D9"/>
              <w:bottom w:val="single" w:sz="6" w:space="0" w:color="D9D9D9"/>
              <w:right w:val="single" w:sz="6" w:space="0" w:color="D9D9D9"/>
            </w:tcBorders>
            <w:shd w:val="clear" w:color="auto" w:fill="FFFFFF"/>
            <w:tcMar>
              <w:top w:w="100" w:type="dxa"/>
              <w:left w:w="105" w:type="dxa"/>
              <w:bottom w:w="100" w:type="dxa"/>
              <w:right w:w="105" w:type="dxa"/>
            </w:tcMar>
            <w:vAlign w:val="center"/>
          </w:tcPr>
          <w:p w14:paraId="36EA56A1" w14:textId="77777777" w:rsidR="00171114" w:rsidRDefault="00000000">
            <w:pPr>
              <w:spacing w:after="0" w:line="252" w:lineRule="auto"/>
              <w:rPr>
                <w:rFonts w:hint="eastAsia"/>
              </w:rPr>
            </w:pPr>
            <w:r>
              <w:rPr>
                <w:sz w:val="16"/>
              </w:rPr>
              <w:t>Measures how quickly misconfigurations are corrected</w:t>
            </w:r>
          </w:p>
        </w:tc>
        <w:tc>
          <w:tcPr>
            <w:tcW w:w="2808" w:type="dxa"/>
            <w:tcBorders>
              <w:top w:val="single" w:sz="6" w:space="0" w:color="D9D9D9"/>
              <w:left w:val="single" w:sz="6" w:space="0" w:color="D9D9D9"/>
              <w:bottom w:val="single" w:sz="6" w:space="0" w:color="D9D9D9"/>
              <w:right w:val="single" w:sz="6" w:space="0" w:color="D9D9D9"/>
            </w:tcBorders>
            <w:shd w:val="clear" w:color="auto" w:fill="FFFFFF"/>
            <w:tcMar>
              <w:top w:w="100" w:type="dxa"/>
              <w:left w:w="105" w:type="dxa"/>
              <w:bottom w:w="100" w:type="dxa"/>
              <w:right w:w="105" w:type="dxa"/>
            </w:tcMar>
            <w:vAlign w:val="center"/>
          </w:tcPr>
          <w:p w14:paraId="570A24FF" w14:textId="77777777" w:rsidR="00171114" w:rsidRDefault="00000000">
            <w:pPr>
              <w:spacing w:after="0" w:line="252" w:lineRule="auto"/>
              <w:rPr>
                <w:rFonts w:hint="eastAsia"/>
              </w:rPr>
            </w:pPr>
            <w:r>
              <w:rPr>
                <w:sz w:val="16"/>
              </w:rPr>
              <w:t>Minutes for automatic remediation; defined SLA for manual cases</w:t>
            </w:r>
          </w:p>
        </w:tc>
      </w:tr>
      <w:tr w:rsidR="00171114" w14:paraId="19385CE9" w14:textId="77777777">
        <w:trPr>
          <w:jc w:val="center"/>
        </w:trPr>
        <w:tc>
          <w:tcPr>
            <w:tcW w:w="2520" w:type="dxa"/>
            <w:tcBorders>
              <w:top w:val="single" w:sz="6" w:space="0" w:color="D9D9D9"/>
              <w:left w:val="single" w:sz="6" w:space="0" w:color="D9D9D9"/>
              <w:bottom w:val="single" w:sz="6" w:space="0" w:color="D9D9D9"/>
              <w:right w:val="single" w:sz="6" w:space="0" w:color="D9D9D9"/>
            </w:tcBorders>
            <w:shd w:val="clear" w:color="auto" w:fill="FFF8DB"/>
            <w:tcMar>
              <w:top w:w="100" w:type="dxa"/>
              <w:left w:w="105" w:type="dxa"/>
              <w:bottom w:w="100" w:type="dxa"/>
              <w:right w:w="105" w:type="dxa"/>
            </w:tcMar>
            <w:vAlign w:val="center"/>
          </w:tcPr>
          <w:p w14:paraId="40261309" w14:textId="77777777" w:rsidR="00171114" w:rsidRDefault="00000000">
            <w:pPr>
              <w:spacing w:after="0" w:line="252" w:lineRule="auto"/>
              <w:jc w:val="center"/>
              <w:rPr>
                <w:rFonts w:hint="eastAsia"/>
              </w:rPr>
            </w:pPr>
            <w:r>
              <w:rPr>
                <w:sz w:val="16"/>
              </w:rPr>
              <w:t>Offline or stale</w:t>
            </w:r>
            <w:r>
              <w:rPr>
                <w:sz w:val="16"/>
              </w:rPr>
              <w:br/>
              <w:t>agents</w:t>
            </w:r>
          </w:p>
        </w:tc>
        <w:tc>
          <w:tcPr>
            <w:tcW w:w="4320" w:type="dxa"/>
            <w:tcBorders>
              <w:top w:val="single" w:sz="6" w:space="0" w:color="D9D9D9"/>
              <w:left w:val="single" w:sz="6" w:space="0" w:color="D9D9D9"/>
              <w:bottom w:val="single" w:sz="6" w:space="0" w:color="D9D9D9"/>
              <w:right w:val="single" w:sz="6" w:space="0" w:color="D9D9D9"/>
            </w:tcBorders>
            <w:shd w:val="clear" w:color="auto" w:fill="FFF8DB"/>
            <w:tcMar>
              <w:top w:w="100" w:type="dxa"/>
              <w:left w:w="105" w:type="dxa"/>
              <w:bottom w:w="100" w:type="dxa"/>
              <w:right w:w="105" w:type="dxa"/>
            </w:tcMar>
            <w:vAlign w:val="center"/>
          </w:tcPr>
          <w:p w14:paraId="0FB520EE" w14:textId="77777777" w:rsidR="00171114" w:rsidRDefault="00000000">
            <w:pPr>
              <w:spacing w:after="0" w:line="252" w:lineRule="auto"/>
              <w:rPr>
                <w:rFonts w:hint="eastAsia"/>
              </w:rPr>
            </w:pPr>
            <w:r>
              <w:rPr>
                <w:sz w:val="16"/>
              </w:rPr>
              <w:t>Identifies endpoints outside continuous monitoring</w:t>
            </w:r>
          </w:p>
        </w:tc>
        <w:tc>
          <w:tcPr>
            <w:tcW w:w="2808" w:type="dxa"/>
            <w:tcBorders>
              <w:top w:val="single" w:sz="6" w:space="0" w:color="D9D9D9"/>
              <w:left w:val="single" w:sz="6" w:space="0" w:color="D9D9D9"/>
              <w:bottom w:val="single" w:sz="6" w:space="0" w:color="D9D9D9"/>
              <w:right w:val="single" w:sz="6" w:space="0" w:color="D9D9D9"/>
            </w:tcBorders>
            <w:shd w:val="clear" w:color="auto" w:fill="FFF8DB"/>
            <w:tcMar>
              <w:top w:w="100" w:type="dxa"/>
              <w:left w:w="105" w:type="dxa"/>
              <w:bottom w:w="100" w:type="dxa"/>
              <w:right w:w="105" w:type="dxa"/>
            </w:tcMar>
            <w:vAlign w:val="center"/>
          </w:tcPr>
          <w:p w14:paraId="32BD0A14" w14:textId="77777777" w:rsidR="00171114" w:rsidRDefault="00000000">
            <w:pPr>
              <w:spacing w:after="0" w:line="252" w:lineRule="auto"/>
              <w:rPr>
                <w:rFonts w:hint="eastAsia"/>
              </w:rPr>
            </w:pPr>
            <w:r>
              <w:rPr>
                <w:sz w:val="16"/>
              </w:rPr>
              <w:t>Investigated within one business day</w:t>
            </w:r>
          </w:p>
        </w:tc>
      </w:tr>
      <w:tr w:rsidR="00171114" w14:paraId="7AA5A308" w14:textId="77777777">
        <w:trPr>
          <w:jc w:val="center"/>
        </w:trPr>
        <w:tc>
          <w:tcPr>
            <w:tcW w:w="2520" w:type="dxa"/>
            <w:tcBorders>
              <w:top w:val="single" w:sz="6" w:space="0" w:color="D9D9D9"/>
              <w:left w:val="single" w:sz="6" w:space="0" w:color="D9D9D9"/>
              <w:bottom w:val="single" w:sz="6" w:space="0" w:color="D9D9D9"/>
              <w:right w:val="single" w:sz="6" w:space="0" w:color="D9D9D9"/>
            </w:tcBorders>
            <w:shd w:val="clear" w:color="auto" w:fill="FFFFFF"/>
            <w:tcMar>
              <w:top w:w="100" w:type="dxa"/>
              <w:left w:w="105" w:type="dxa"/>
              <w:bottom w:w="100" w:type="dxa"/>
              <w:right w:w="105" w:type="dxa"/>
            </w:tcMar>
            <w:vAlign w:val="center"/>
          </w:tcPr>
          <w:p w14:paraId="2251209A" w14:textId="77777777" w:rsidR="00171114" w:rsidRDefault="00000000">
            <w:pPr>
              <w:spacing w:after="0" w:line="252" w:lineRule="auto"/>
              <w:jc w:val="center"/>
              <w:rPr>
                <w:rFonts w:hint="eastAsia"/>
              </w:rPr>
            </w:pPr>
            <w:r>
              <w:rPr>
                <w:sz w:val="16"/>
              </w:rPr>
              <w:t>Aging exceptions</w:t>
            </w:r>
          </w:p>
        </w:tc>
        <w:tc>
          <w:tcPr>
            <w:tcW w:w="4320" w:type="dxa"/>
            <w:tcBorders>
              <w:top w:val="single" w:sz="6" w:space="0" w:color="D9D9D9"/>
              <w:left w:val="single" w:sz="6" w:space="0" w:color="D9D9D9"/>
              <w:bottom w:val="single" w:sz="6" w:space="0" w:color="D9D9D9"/>
              <w:right w:val="single" w:sz="6" w:space="0" w:color="D9D9D9"/>
            </w:tcBorders>
            <w:shd w:val="clear" w:color="auto" w:fill="FFFFFF"/>
            <w:tcMar>
              <w:top w:w="100" w:type="dxa"/>
              <w:left w:w="105" w:type="dxa"/>
              <w:bottom w:w="100" w:type="dxa"/>
              <w:right w:w="105" w:type="dxa"/>
            </w:tcMar>
            <w:vAlign w:val="center"/>
          </w:tcPr>
          <w:p w14:paraId="1D5C7223" w14:textId="77777777" w:rsidR="00171114" w:rsidRDefault="00000000">
            <w:pPr>
              <w:spacing w:after="0" w:line="252" w:lineRule="auto"/>
              <w:rPr>
                <w:rFonts w:hint="eastAsia"/>
              </w:rPr>
            </w:pPr>
            <w:r>
              <w:rPr>
                <w:sz w:val="16"/>
              </w:rPr>
              <w:t>Prevents temporary deviations from becoming permanent</w:t>
            </w:r>
          </w:p>
        </w:tc>
        <w:tc>
          <w:tcPr>
            <w:tcW w:w="2808" w:type="dxa"/>
            <w:tcBorders>
              <w:top w:val="single" w:sz="6" w:space="0" w:color="D9D9D9"/>
              <w:left w:val="single" w:sz="6" w:space="0" w:color="D9D9D9"/>
              <w:bottom w:val="single" w:sz="6" w:space="0" w:color="D9D9D9"/>
              <w:right w:val="single" w:sz="6" w:space="0" w:color="D9D9D9"/>
            </w:tcBorders>
            <w:shd w:val="clear" w:color="auto" w:fill="FFFFFF"/>
            <w:tcMar>
              <w:top w:w="100" w:type="dxa"/>
              <w:left w:w="105" w:type="dxa"/>
              <w:bottom w:w="100" w:type="dxa"/>
              <w:right w:w="105" w:type="dxa"/>
            </w:tcMar>
            <w:vAlign w:val="center"/>
          </w:tcPr>
          <w:p w14:paraId="7E937969" w14:textId="77777777" w:rsidR="00171114" w:rsidRDefault="00000000">
            <w:pPr>
              <w:spacing w:after="0" w:line="252" w:lineRule="auto"/>
              <w:rPr>
                <w:rFonts w:hint="eastAsia"/>
              </w:rPr>
            </w:pPr>
            <w:r>
              <w:rPr>
                <w:sz w:val="16"/>
              </w:rPr>
              <w:t>No exception past its review or expiration date</w:t>
            </w:r>
          </w:p>
        </w:tc>
      </w:tr>
      <w:tr w:rsidR="00171114" w14:paraId="17DAA1C6" w14:textId="77777777">
        <w:trPr>
          <w:jc w:val="center"/>
        </w:trPr>
        <w:tc>
          <w:tcPr>
            <w:tcW w:w="2520" w:type="dxa"/>
            <w:tcBorders>
              <w:top w:val="single" w:sz="6" w:space="0" w:color="D9D9D9"/>
              <w:left w:val="single" w:sz="6" w:space="0" w:color="D9D9D9"/>
              <w:bottom w:val="single" w:sz="6" w:space="0" w:color="D9D9D9"/>
              <w:right w:val="single" w:sz="6" w:space="0" w:color="D9D9D9"/>
            </w:tcBorders>
            <w:shd w:val="clear" w:color="auto" w:fill="FFF8DB"/>
            <w:tcMar>
              <w:top w:w="100" w:type="dxa"/>
              <w:left w:w="105" w:type="dxa"/>
              <w:bottom w:w="100" w:type="dxa"/>
              <w:right w:w="105" w:type="dxa"/>
            </w:tcMar>
            <w:vAlign w:val="center"/>
          </w:tcPr>
          <w:p w14:paraId="3F6C6DB5" w14:textId="77777777" w:rsidR="00171114" w:rsidRDefault="00000000">
            <w:pPr>
              <w:spacing w:after="0" w:line="252" w:lineRule="auto"/>
              <w:jc w:val="center"/>
              <w:rPr>
                <w:rFonts w:hint="eastAsia"/>
              </w:rPr>
            </w:pPr>
            <w:r>
              <w:rPr>
                <w:sz w:val="16"/>
              </w:rPr>
              <w:lastRenderedPageBreak/>
              <w:t>Repeat drift by setting</w:t>
            </w:r>
          </w:p>
        </w:tc>
        <w:tc>
          <w:tcPr>
            <w:tcW w:w="4320" w:type="dxa"/>
            <w:tcBorders>
              <w:top w:val="single" w:sz="6" w:space="0" w:color="D9D9D9"/>
              <w:left w:val="single" w:sz="6" w:space="0" w:color="D9D9D9"/>
              <w:bottom w:val="single" w:sz="6" w:space="0" w:color="D9D9D9"/>
              <w:right w:val="single" w:sz="6" w:space="0" w:color="D9D9D9"/>
            </w:tcBorders>
            <w:shd w:val="clear" w:color="auto" w:fill="FFF8DB"/>
            <w:tcMar>
              <w:top w:w="100" w:type="dxa"/>
              <w:left w:w="105" w:type="dxa"/>
              <w:bottom w:w="100" w:type="dxa"/>
              <w:right w:w="105" w:type="dxa"/>
            </w:tcMar>
            <w:vAlign w:val="center"/>
          </w:tcPr>
          <w:p w14:paraId="3DB97FB6" w14:textId="77777777" w:rsidR="00171114" w:rsidRDefault="00000000">
            <w:pPr>
              <w:spacing w:after="0" w:line="252" w:lineRule="auto"/>
              <w:rPr>
                <w:rFonts w:hint="eastAsia"/>
              </w:rPr>
            </w:pPr>
            <w:r>
              <w:rPr>
                <w:sz w:val="16"/>
              </w:rPr>
              <w:t>Identifies unstable configurations or conflicting management tools</w:t>
            </w:r>
          </w:p>
        </w:tc>
        <w:tc>
          <w:tcPr>
            <w:tcW w:w="2808" w:type="dxa"/>
            <w:tcBorders>
              <w:top w:val="single" w:sz="6" w:space="0" w:color="D9D9D9"/>
              <w:left w:val="single" w:sz="6" w:space="0" w:color="D9D9D9"/>
              <w:bottom w:val="single" w:sz="6" w:space="0" w:color="D9D9D9"/>
              <w:right w:val="single" w:sz="6" w:space="0" w:color="D9D9D9"/>
            </w:tcBorders>
            <w:shd w:val="clear" w:color="auto" w:fill="FFF8DB"/>
            <w:tcMar>
              <w:top w:w="100" w:type="dxa"/>
              <w:left w:w="105" w:type="dxa"/>
              <w:bottom w:w="100" w:type="dxa"/>
              <w:right w:w="105" w:type="dxa"/>
            </w:tcMar>
            <w:vAlign w:val="center"/>
          </w:tcPr>
          <w:p w14:paraId="1065437C" w14:textId="77777777" w:rsidR="00171114" w:rsidRDefault="00000000">
            <w:pPr>
              <w:spacing w:after="0" w:line="252" w:lineRule="auto"/>
              <w:rPr>
                <w:rFonts w:hint="eastAsia"/>
              </w:rPr>
            </w:pPr>
            <w:r>
              <w:rPr>
                <w:sz w:val="16"/>
              </w:rPr>
              <w:t>Root-cause review for repeated events</w:t>
            </w:r>
          </w:p>
        </w:tc>
      </w:tr>
    </w:tbl>
    <w:p w14:paraId="397CE579" w14:textId="77777777" w:rsidR="00171114" w:rsidRDefault="00171114">
      <w:pPr>
        <w:spacing w:after="20"/>
        <w:rPr>
          <w:rFonts w:hint="eastAsia"/>
        </w:rPr>
      </w:pPr>
    </w:p>
    <w:p w14:paraId="077C23CF" w14:textId="77777777" w:rsidR="00171114" w:rsidRDefault="00000000">
      <w:pPr>
        <w:pStyle w:val="Heading2"/>
      </w:pPr>
      <w:r>
        <w:rPr>
          <w:rFonts w:ascii="DejaVu Sans" w:hAnsi="DejaVu Sans"/>
        </w:rPr>
        <w:t>Conclusion</w:t>
      </w:r>
    </w:p>
    <w:p w14:paraId="40766F4D" w14:textId="77777777" w:rsidR="00171114" w:rsidRDefault="00000000">
      <w:pPr>
        <w:rPr>
          <w:rFonts w:hint="eastAsia"/>
        </w:rPr>
      </w:pPr>
      <w:r>
        <w:t>Senteon's strongest SOC 2 value is not that it can point to a secure baseline. Its value is that it can help an organization prove the baseline remained active, identify when settings moved, document how deviations were handled, and produce evidence across the examination period. That is the difference between configuration intent and an operating control.</w:t>
      </w:r>
    </w:p>
    <w:p w14:paraId="1A98B22B" w14:textId="77777777" w:rsidR="00171114" w:rsidRDefault="00000000">
      <w:pPr>
        <w:rPr>
          <w:rFonts w:hint="eastAsia"/>
        </w:rPr>
      </w:pPr>
      <w:r>
        <w:t>Used within a defined governance process, Senteon can materially strengthen CC7.1 and provide strong support for endpoint portions of CC6.1, CC6.6, and CC6.8. The most defensible implementation uses four clear controls, recurring population and drift evidence, formal exception governance, and complementary identity, detection, incident response, recovery, and change-management processes.</w:t>
      </w:r>
    </w:p>
    <w:p w14:paraId="6EF7E340" w14:textId="77777777" w:rsidR="00171114" w:rsidRDefault="00000000">
      <w:pPr>
        <w:pStyle w:val="Heading1"/>
      </w:pPr>
      <w:r>
        <w:rPr>
          <w:rFonts w:ascii="DejaVu Sans" w:hAnsi="DejaVu Sans"/>
          <w:color w:val="FAAB17"/>
        </w:rPr>
        <w:t xml:space="preserve">9  </w:t>
      </w:r>
      <w:r>
        <w:rPr>
          <w:rFonts w:ascii="DejaVu Sans" w:hAnsi="DejaVu Sans"/>
        </w:rPr>
        <w:t>References</w:t>
      </w:r>
    </w:p>
    <w:p w14:paraId="36D600F7" w14:textId="77777777" w:rsidR="00171114" w:rsidRDefault="00000000">
      <w:pPr>
        <w:pStyle w:val="Source"/>
        <w:rPr>
          <w:rFonts w:hint="eastAsia"/>
        </w:rPr>
      </w:pPr>
      <w:r>
        <w:rPr>
          <w:color w:val="393939"/>
        </w:rPr>
        <w:t xml:space="preserve">[1] AICPA and CIMA. 2017 Trust Services Criteria With Revised Points of Focus 2022. </w:t>
      </w:r>
      <w:hyperlink r:id="rId8">
        <w:r>
          <w:rPr>
            <w:u w:val="single"/>
          </w:rPr>
          <w:t>https://www.aicpa-cima.com/resources/download/2017-trust-services-criteria-with-revised-points-of-focus-2022</w:t>
        </w:r>
      </w:hyperlink>
      <w:r>
        <w:t xml:space="preserve"> Accessed October 5, 2026.</w:t>
      </w:r>
    </w:p>
    <w:p w14:paraId="4AEFE12A" w14:textId="77777777" w:rsidR="00171114" w:rsidRDefault="00000000">
      <w:pPr>
        <w:pStyle w:val="Source"/>
        <w:rPr>
          <w:rFonts w:hint="eastAsia"/>
        </w:rPr>
      </w:pPr>
      <w:r>
        <w:rPr>
          <w:color w:val="393939"/>
        </w:rPr>
        <w:t xml:space="preserve">[2] Senteon. Senteon for Enterprises. Product capabilities, supported frameworks, 31 hardening categories, and more than 1,500 control settings. </w:t>
      </w:r>
      <w:hyperlink r:id="rId9">
        <w:r>
          <w:rPr>
            <w:u w:val="single"/>
          </w:rPr>
          <w:t>https://senteon.co/senteon-for-enterprises</w:t>
        </w:r>
      </w:hyperlink>
      <w:r>
        <w:t xml:space="preserve"> Accessed October 5, 2026.</w:t>
      </w:r>
    </w:p>
    <w:p w14:paraId="6F9DF580" w14:textId="77777777" w:rsidR="00171114" w:rsidRDefault="00000000">
      <w:pPr>
        <w:pStyle w:val="Source"/>
        <w:rPr>
          <w:rFonts w:hint="eastAsia"/>
        </w:rPr>
      </w:pPr>
      <w:r>
        <w:rPr>
          <w:color w:val="393939"/>
        </w:rPr>
        <w:t xml:space="preserve">[3] Senteon Documentation. Tenant and Endpoint Management. Configuration sets, baseline groups, exceptions, endpoint status, and setting history. </w:t>
      </w:r>
      <w:hyperlink r:id="rId10">
        <w:r>
          <w:rPr>
            <w:u w:val="single"/>
          </w:rPr>
          <w:t>https://senteon.readthedocs.io/en/latest/tenant_endpoint_mgmt/</w:t>
        </w:r>
      </w:hyperlink>
      <w:r>
        <w:t xml:space="preserve"> Accessed October 5, 2026.</w:t>
      </w:r>
    </w:p>
    <w:p w14:paraId="19E02943" w14:textId="77777777" w:rsidR="00171114" w:rsidRDefault="00000000">
      <w:pPr>
        <w:pStyle w:val="Source"/>
        <w:rPr>
          <w:rFonts w:hint="eastAsia"/>
        </w:rPr>
      </w:pPr>
      <w:r>
        <w:rPr>
          <w:color w:val="393939"/>
        </w:rPr>
        <w:t xml:space="preserve">[4] Senteon. Stop Configuration Drift with Senteon. Continuous monitoring, automated remediation, baseline enforcement, and drift reporting. </w:t>
      </w:r>
      <w:hyperlink r:id="rId11">
        <w:r>
          <w:rPr>
            <w:u w:val="single"/>
          </w:rPr>
          <w:t>https://senteon.co/configuration-drift</w:t>
        </w:r>
      </w:hyperlink>
      <w:r>
        <w:t xml:space="preserve"> Accessed October 5, 2026.</w:t>
      </w:r>
    </w:p>
    <w:p w14:paraId="479BA942" w14:textId="77777777" w:rsidR="00171114" w:rsidRDefault="00000000">
      <w:pPr>
        <w:pStyle w:val="Source"/>
        <w:rPr>
          <w:rFonts w:hint="eastAsia"/>
        </w:rPr>
      </w:pPr>
      <w:r>
        <w:rPr>
          <w:color w:val="393939"/>
        </w:rPr>
        <w:t xml:space="preserve">[5] Senteon. New Senteon Platform Update Endpoint PDF Reports and Smarter Compliance Controls. January 14, 2026. </w:t>
      </w:r>
      <w:hyperlink r:id="rId12">
        <w:r>
          <w:rPr>
            <w:u w:val="single"/>
          </w:rPr>
          <w:t>https://senteon.co/blog/new-senteon-platform-update-endpoint-pdf-reports-smarter-compliance-controls</w:t>
        </w:r>
      </w:hyperlink>
      <w:r>
        <w:t xml:space="preserve"> Accessed October 5, 2026.</w:t>
      </w:r>
    </w:p>
    <w:p w14:paraId="39B9327A" w14:textId="77777777" w:rsidR="00171114" w:rsidRDefault="00000000">
      <w:pPr>
        <w:pStyle w:val="Heading2"/>
        <w:spacing w:before="240"/>
      </w:pPr>
      <w:r>
        <w:rPr>
          <w:rFonts w:ascii="DejaVu Sans" w:hAnsi="DejaVu Sans"/>
        </w:rPr>
        <w:t>Use of this mapping</w:t>
      </w:r>
    </w:p>
    <w:p w14:paraId="10D24292" w14:textId="77777777" w:rsidR="00171114" w:rsidRDefault="00000000">
      <w:pPr>
        <w:pStyle w:val="Source"/>
        <w:rPr>
          <w:rFonts w:hint="eastAsia"/>
        </w:rPr>
      </w:pPr>
      <w:r>
        <w:rPr>
          <w:color w:val="171717"/>
          <w:sz w:val="20"/>
        </w:rPr>
        <w:t>For planning purposes only; not legal advice, an audit opinion, or a guarantee of auditor acceptance. Align controls and evidence to your scope, risks, and service auditor.</w:t>
      </w:r>
    </w:p>
    <w:sectPr w:rsidR="00171114" w:rsidSect="00034616">
      <w:headerReference w:type="even" r:id="rId13"/>
      <w:headerReference w:type="default" r:id="rId14"/>
      <w:footerReference w:type="even" r:id="rId15"/>
      <w:footerReference w:type="default" r:id="rId16"/>
      <w:pgSz w:w="12240" w:h="15840"/>
      <w:pgMar w:top="979" w:right="1123" w:bottom="936" w:left="1123" w:header="360" w:footer="40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08EB83" w14:textId="77777777" w:rsidR="0018377F" w:rsidRDefault="0018377F">
      <w:pPr>
        <w:spacing w:after="0" w:line="240" w:lineRule="auto"/>
        <w:rPr>
          <w:rFonts w:hint="eastAsia"/>
        </w:rPr>
      </w:pPr>
      <w:r>
        <w:separator/>
      </w:r>
    </w:p>
  </w:endnote>
  <w:endnote w:type="continuationSeparator" w:id="0">
    <w:p w14:paraId="676A932D" w14:textId="77777777" w:rsidR="0018377F" w:rsidRDefault="0018377F">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DejaVu Sans">
    <w:altName w:val="Verdan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7C7AC" w14:textId="77777777" w:rsidR="00171114" w:rsidRDefault="00171114">
    <w:pPr>
      <w:pStyle w:val="Footer"/>
      <w:rPr>
        <w:rFonts w:hint="eastAsia"/>
      </w:rPr>
    </w:pPr>
  </w:p>
  <w:tbl>
    <w:tblPr>
      <w:tblW w:w="0" w:type="auto"/>
      <w:jc w:val="center"/>
      <w:tblLayout w:type="fixed"/>
      <w:tblLook w:val="04A0" w:firstRow="1" w:lastRow="0" w:firstColumn="1" w:lastColumn="0" w:noHBand="0" w:noVBand="1"/>
    </w:tblPr>
    <w:tblGrid>
      <w:gridCol w:w="8496"/>
      <w:gridCol w:w="1440"/>
    </w:tblGrid>
    <w:tr w:rsidR="00171114" w14:paraId="4CC981E8" w14:textId="77777777">
      <w:trPr>
        <w:jc w:val="center"/>
      </w:trPr>
      <w:tc>
        <w:tcPr>
          <w:tcW w:w="8496" w:type="dxa"/>
          <w:tcBorders>
            <w:top w:val="nil"/>
            <w:left w:val="nil"/>
            <w:bottom w:val="nil"/>
            <w:right w:val="nil"/>
          </w:tcBorders>
          <w:tcMar>
            <w:top w:w="0" w:type="dxa"/>
            <w:left w:w="0" w:type="dxa"/>
            <w:bottom w:w="0" w:type="dxa"/>
            <w:right w:w="0" w:type="dxa"/>
          </w:tcMar>
        </w:tcPr>
        <w:p w14:paraId="3F33F3A4" w14:textId="77777777" w:rsidR="00171114" w:rsidRDefault="00000000">
          <w:pPr>
            <w:rPr>
              <w:rFonts w:hint="eastAsia"/>
            </w:rPr>
          </w:pPr>
          <w:r>
            <w:rPr>
              <w:b/>
              <w:color w:val="666666"/>
              <w:sz w:val="15"/>
            </w:rPr>
            <w:t>SENTEON   |   CONTINUOUS ENDPOINT HARDENING</w:t>
          </w:r>
        </w:p>
      </w:tc>
      <w:tc>
        <w:tcPr>
          <w:tcW w:w="1440" w:type="dxa"/>
          <w:tcBorders>
            <w:top w:val="nil"/>
            <w:left w:val="nil"/>
            <w:bottom w:val="nil"/>
            <w:right w:val="nil"/>
          </w:tcBorders>
          <w:tcMar>
            <w:top w:w="0" w:type="dxa"/>
            <w:left w:w="0" w:type="dxa"/>
            <w:bottom w:w="0" w:type="dxa"/>
            <w:right w:w="0" w:type="dxa"/>
          </w:tcMar>
        </w:tcPr>
        <w:p w14:paraId="4716B278" w14:textId="77777777" w:rsidR="00171114" w:rsidRDefault="00000000">
          <w:pPr>
            <w:jc w:val="right"/>
            <w:rPr>
              <w:rFonts w:hint="eastAsia"/>
            </w:rPr>
          </w:pPr>
          <w:r>
            <w:rPr>
              <w:color w:val="666666"/>
              <w:sz w:val="17"/>
            </w:rPr>
            <w:fldChar w:fldCharType="begin"/>
          </w:r>
          <w:r>
            <w:rPr>
              <w:color w:val="666666"/>
              <w:sz w:val="17"/>
            </w:rPr>
            <w:instrText xml:space="preserve"> PAGE </w:instrText>
          </w:r>
          <w:r w:rsidR="00263FB4">
            <w:rPr>
              <w:rFonts w:hint="eastAsia"/>
              <w:color w:val="666666"/>
              <w:sz w:val="17"/>
            </w:rPr>
            <w:fldChar w:fldCharType="separate"/>
          </w:r>
          <w:r w:rsidR="00263FB4">
            <w:rPr>
              <w:rFonts w:hint="eastAsia"/>
              <w:noProof/>
              <w:color w:val="666666"/>
              <w:sz w:val="17"/>
            </w:rPr>
            <w:t>2</w:t>
          </w:r>
          <w:r>
            <w:rPr>
              <w:color w:val="666666"/>
              <w:sz w:val="17"/>
            </w:rPr>
            <w:fldChar w:fldCharType="end"/>
          </w: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3346B" w14:textId="77777777" w:rsidR="00171114" w:rsidRDefault="00171114">
    <w:pPr>
      <w:pStyle w:val="Footer"/>
      <w:rPr>
        <w:rFonts w:hint="eastAsia"/>
      </w:rPr>
    </w:pPr>
  </w:p>
  <w:tbl>
    <w:tblPr>
      <w:tblW w:w="0" w:type="auto"/>
      <w:jc w:val="center"/>
      <w:tblLayout w:type="fixed"/>
      <w:tblLook w:val="04A0" w:firstRow="1" w:lastRow="0" w:firstColumn="1" w:lastColumn="0" w:noHBand="0" w:noVBand="1"/>
    </w:tblPr>
    <w:tblGrid>
      <w:gridCol w:w="8496"/>
      <w:gridCol w:w="1440"/>
    </w:tblGrid>
    <w:tr w:rsidR="00171114" w14:paraId="0F1D12AF" w14:textId="77777777">
      <w:trPr>
        <w:jc w:val="center"/>
      </w:trPr>
      <w:tc>
        <w:tcPr>
          <w:tcW w:w="8496" w:type="dxa"/>
          <w:tcBorders>
            <w:top w:val="nil"/>
            <w:left w:val="nil"/>
            <w:bottom w:val="nil"/>
            <w:right w:val="nil"/>
          </w:tcBorders>
          <w:tcMar>
            <w:top w:w="0" w:type="dxa"/>
            <w:left w:w="0" w:type="dxa"/>
            <w:bottom w:w="0" w:type="dxa"/>
            <w:right w:w="0" w:type="dxa"/>
          </w:tcMar>
        </w:tcPr>
        <w:p w14:paraId="6AFEC775" w14:textId="77777777" w:rsidR="00171114" w:rsidRDefault="00000000">
          <w:pPr>
            <w:rPr>
              <w:rFonts w:hint="eastAsia"/>
            </w:rPr>
          </w:pPr>
          <w:r>
            <w:rPr>
              <w:b/>
              <w:color w:val="666666"/>
              <w:sz w:val="15"/>
            </w:rPr>
            <w:t>SENTEON   |   CONTINUOUS ENDPOINT HARDENING</w:t>
          </w:r>
        </w:p>
      </w:tc>
      <w:tc>
        <w:tcPr>
          <w:tcW w:w="1440" w:type="dxa"/>
          <w:tcBorders>
            <w:top w:val="nil"/>
            <w:left w:val="nil"/>
            <w:bottom w:val="nil"/>
            <w:right w:val="nil"/>
          </w:tcBorders>
          <w:tcMar>
            <w:top w:w="0" w:type="dxa"/>
            <w:left w:w="0" w:type="dxa"/>
            <w:bottom w:w="0" w:type="dxa"/>
            <w:right w:w="0" w:type="dxa"/>
          </w:tcMar>
        </w:tcPr>
        <w:p w14:paraId="4B36C47F" w14:textId="77777777" w:rsidR="00171114" w:rsidRDefault="00000000">
          <w:pPr>
            <w:jc w:val="right"/>
            <w:rPr>
              <w:rFonts w:hint="eastAsia"/>
            </w:rPr>
          </w:pPr>
          <w:r>
            <w:rPr>
              <w:color w:val="666666"/>
              <w:sz w:val="17"/>
            </w:rPr>
            <w:fldChar w:fldCharType="begin"/>
          </w:r>
          <w:r>
            <w:rPr>
              <w:color w:val="666666"/>
              <w:sz w:val="17"/>
            </w:rPr>
            <w:instrText xml:space="preserve"> PAGE </w:instrText>
          </w:r>
          <w:r w:rsidR="00263FB4">
            <w:rPr>
              <w:rFonts w:hint="eastAsia"/>
              <w:color w:val="666666"/>
              <w:sz w:val="17"/>
            </w:rPr>
            <w:fldChar w:fldCharType="separate"/>
          </w:r>
          <w:r w:rsidR="00263FB4">
            <w:rPr>
              <w:rFonts w:hint="eastAsia"/>
              <w:noProof/>
              <w:color w:val="666666"/>
              <w:sz w:val="17"/>
            </w:rPr>
            <w:t>1</w:t>
          </w:r>
          <w:r>
            <w:rPr>
              <w:color w:val="666666"/>
              <w:sz w:val="17"/>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365735" w14:textId="77777777" w:rsidR="0018377F" w:rsidRDefault="0018377F">
      <w:pPr>
        <w:spacing w:after="0" w:line="240" w:lineRule="auto"/>
        <w:rPr>
          <w:rFonts w:hint="eastAsia"/>
        </w:rPr>
      </w:pPr>
      <w:r>
        <w:separator/>
      </w:r>
    </w:p>
  </w:footnote>
  <w:footnote w:type="continuationSeparator" w:id="0">
    <w:p w14:paraId="699CAD44" w14:textId="77777777" w:rsidR="0018377F" w:rsidRDefault="0018377F">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599D4" w14:textId="77777777" w:rsidR="00171114" w:rsidRDefault="00000000">
    <w:pPr>
      <w:pStyle w:val="Header"/>
      <w:rPr>
        <w:rFonts w:hint="eastAsia"/>
      </w:rPr>
    </w:pPr>
    <w:r>
      <w:rPr>
        <w:noProof/>
      </w:rPr>
      <w:drawing>
        <wp:inline distT="0" distB="0" distL="0" distR="0" wp14:anchorId="1EDA3090" wp14:editId="3385D191">
          <wp:extent cx="1481328" cy="265384"/>
          <wp:effectExtent l="0" t="0" r="0" b="0"/>
          <wp:docPr id="590974042" name="Picture 590974042" descr="Senteon logo" title="Sente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nteon-logo.png"/>
                  <pic:cNvPicPr/>
                </pic:nvPicPr>
                <pic:blipFill>
                  <a:blip r:embed="rId1"/>
                  <a:stretch>
                    <a:fillRect/>
                  </a:stretch>
                </pic:blipFill>
                <pic:spPr>
                  <a:xfrm>
                    <a:off x="0" y="0"/>
                    <a:ext cx="1481328" cy="265384"/>
                  </a:xfrm>
                  <a:prstGeom prst="rect">
                    <a:avLst/>
                  </a:prstGeom>
                </pic:spPr>
              </pic:pic>
            </a:graphicData>
          </a:graphic>
        </wp:inline>
      </w:drawing>
    </w:r>
    <w:r>
      <w:rPr>
        <w:b/>
        <w:color w:val="666666"/>
        <w:sz w:val="16"/>
      </w:rPr>
      <w:t xml:space="preserve">  SOC 2 TYPE II WHITEPAPER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FF568" w14:textId="77777777" w:rsidR="00171114" w:rsidRDefault="00000000">
    <w:pPr>
      <w:pStyle w:val="Header"/>
      <w:rPr>
        <w:rFonts w:hint="eastAsia"/>
      </w:rPr>
    </w:pPr>
    <w:r>
      <w:rPr>
        <w:noProof/>
      </w:rPr>
      <w:drawing>
        <wp:inline distT="0" distB="0" distL="0" distR="0" wp14:anchorId="2FC573F4" wp14:editId="44FE2E08">
          <wp:extent cx="1481328" cy="265384"/>
          <wp:effectExtent l="0" t="0" r="0" b="0"/>
          <wp:docPr id="1" name="Picture 1" descr="Senteon logo" title="Sente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nteon-logo.png"/>
                  <pic:cNvPicPr/>
                </pic:nvPicPr>
                <pic:blipFill>
                  <a:blip r:embed="rId1"/>
                  <a:stretch>
                    <a:fillRect/>
                  </a:stretch>
                </pic:blipFill>
                <pic:spPr>
                  <a:xfrm>
                    <a:off x="0" y="0"/>
                    <a:ext cx="1481328" cy="265384"/>
                  </a:xfrm>
                  <a:prstGeom prst="rect">
                    <a:avLst/>
                  </a:prstGeom>
                </pic:spPr>
              </pic:pic>
            </a:graphicData>
          </a:graphic>
        </wp:inline>
      </w:drawing>
    </w:r>
    <w:r>
      <w:rPr>
        <w:b/>
        <w:color w:val="666666"/>
        <w:sz w:val="16"/>
      </w:rPr>
      <w:t xml:space="preserve">  SOC 2 TYPE II WHITEPAPER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82441679">
    <w:abstractNumId w:val="8"/>
  </w:num>
  <w:num w:numId="2" w16cid:durableId="1930112620">
    <w:abstractNumId w:val="6"/>
  </w:num>
  <w:num w:numId="3" w16cid:durableId="2032416143">
    <w:abstractNumId w:val="5"/>
  </w:num>
  <w:num w:numId="4" w16cid:durableId="1706060684">
    <w:abstractNumId w:val="4"/>
  </w:num>
  <w:num w:numId="5" w16cid:durableId="1181160244">
    <w:abstractNumId w:val="7"/>
  </w:num>
  <w:num w:numId="6" w16cid:durableId="1629046319">
    <w:abstractNumId w:val="3"/>
  </w:num>
  <w:num w:numId="7" w16cid:durableId="1796480842">
    <w:abstractNumId w:val="2"/>
  </w:num>
  <w:num w:numId="8" w16cid:durableId="1698505540">
    <w:abstractNumId w:val="1"/>
  </w:num>
  <w:num w:numId="9" w16cid:durableId="14263416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71114"/>
    <w:rsid w:val="0018377F"/>
    <w:rsid w:val="00263FB4"/>
    <w:rsid w:val="0029639D"/>
    <w:rsid w:val="00326F90"/>
    <w:rsid w:val="00AA1D8D"/>
    <w:rsid w:val="00AF518F"/>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DBC7E23"/>
  <w14:defaultImageDpi w14:val="300"/>
  <w15:docId w15:val="{F23644C9-189E-4267-9365-E71AD75EB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DejaVu Sans" w:hAnsi="DejaVu Sans"/>
      <w:color w:val="171717"/>
      <w:sz w:val="20"/>
    </w:rPr>
  </w:style>
  <w:style w:type="paragraph" w:styleId="Heading1">
    <w:name w:val="heading 1"/>
    <w:basedOn w:val="Normal"/>
    <w:next w:val="Normal"/>
    <w:link w:val="Heading1Char"/>
    <w:uiPriority w:val="9"/>
    <w:qFormat/>
    <w:rsid w:val="00FC693F"/>
    <w:pPr>
      <w:keepNext/>
      <w:keepLines/>
      <w:spacing w:before="280" w:after="160"/>
      <w:outlineLvl w:val="0"/>
    </w:pPr>
    <w:rPr>
      <w:rFonts w:asciiTheme="majorHAnsi" w:eastAsiaTheme="majorEastAsia" w:hAnsiTheme="majorHAnsi" w:cstheme="majorBidi"/>
      <w:b/>
      <w:bCs/>
      <w:color w:val="000000"/>
      <w:sz w:val="40"/>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b/>
      <w:bCs/>
      <w:color w:val="000000"/>
      <w:sz w:val="27"/>
      <w:szCs w:val="26"/>
    </w:rPr>
  </w:style>
  <w:style w:type="paragraph" w:styleId="Heading3">
    <w:name w:val="heading 3"/>
    <w:basedOn w:val="Normal"/>
    <w:next w:val="Normal"/>
    <w:link w:val="Heading3Char"/>
    <w:uiPriority w:val="9"/>
    <w:unhideWhenUsed/>
    <w:qFormat/>
    <w:rsid w:val="00FC693F"/>
    <w:pPr>
      <w:keepNext/>
      <w:keepLines/>
      <w:spacing w:before="140" w:after="60"/>
      <w:outlineLvl w:val="2"/>
    </w:pPr>
    <w:rPr>
      <w:rFonts w:asciiTheme="majorHAnsi" w:eastAsiaTheme="majorEastAsia" w:hAnsiTheme="majorHAnsi" w:cstheme="majorBid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80" w:line="240" w:lineRule="auto"/>
      <w:contextualSpacing/>
    </w:pPr>
    <w:rPr>
      <w:rFonts w:asciiTheme="majorHAnsi" w:eastAsiaTheme="majorEastAsia" w:hAnsiTheme="majorHAnsi" w:cstheme="majorBidi"/>
      <w:b/>
      <w:color w:val="000000"/>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393939"/>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
    <w:name w:val="Source"/>
    <w:pPr>
      <w:spacing w:after="80" w:line="240" w:lineRule="auto"/>
    </w:pPr>
    <w:rPr>
      <w:rFonts w:ascii="DejaVu Sans" w:hAnsi="DejaVu Sans"/>
      <w:color w:val="666666"/>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icpa-cima.com/resources/download/2017-trust-services-criteria-with-revised-points-of-focus-2022"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enteon.co/blog/new-senteon-platform-update-endpoint-pdf-reports-smarter-compliance-controls"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enteon.co/configuration-drif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senteon.readthedocs.io/en/latest/tenant_endpoint_mgmt/" TargetMode="External"/><Relationship Id="rId4" Type="http://schemas.openxmlformats.org/officeDocument/2006/relationships/settings" Target="settings.xml"/><Relationship Id="rId9" Type="http://schemas.openxmlformats.org/officeDocument/2006/relationships/hyperlink" Target="https://senteon.co/senteon-for-enterprises"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11</Pages>
  <Words>3379</Words>
  <Characters>19262</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Continuous Endpoint Hardening for SOC 2 Type II</vt:lpstr>
    </vt:vector>
  </TitlesOfParts>
  <Manager/>
  <Company/>
  <LinksUpToDate>false</LinksUpToDate>
  <CharactersWithSpaces>22596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Continuous Endpoint Hardening for SOC 2 Type II</dc:title>
  <dc:subject>Senteon control and evidence mapping for SOC 2 Type II</dc:subject>
  <dc:creator>Senteon;jcopeland@tulane.edu</dc:creator>
  <cp:keywords>Senteon, SOC 2, Type II, endpoint hardening, configuration drift, audit evidence</cp:keywords>
  <dc:description>Published October 2026</dc:description>
  <cp:lastModifiedBy>Joshua Copeland</cp:lastModifiedBy>
  <cp:revision>2</cp:revision>
  <dcterms:created xsi:type="dcterms:W3CDTF">2013-12-23T23:15:00Z</dcterms:created>
  <dcterms:modified xsi:type="dcterms:W3CDTF">2026-10-05T17:15:00Z</dcterms:modified>
  <cp:category/>
</cp:coreProperties>
</file>